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950119796"/>
        <w:docPartObj>
          <w:docPartGallery w:val="Cover Pages"/>
          <w:docPartUnique/>
        </w:docPartObj>
      </w:sdtPr>
      <w:sdtEndPr/>
      <w:sdtContent>
        <w:p w14:paraId="26F9BEEA" w14:textId="66DBD77A" w:rsidR="00FC65EF" w:rsidRDefault="00FC65EF">
          <w:r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561DD533" wp14:editId="1AE654B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0"/>
                                </w:tblGrid>
                                <w:tr w:rsidR="00FC65EF" w14:paraId="0AB2BF81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39B9099E" w14:textId="77777777" w:rsidR="00FC65EF" w:rsidRDefault="00FC65EF">
                                      <w:r>
                                        <w:rPr>
                                          <w:noProof/>
                                          <w:lang w:eastAsia="pt-PT"/>
                                        </w:rPr>
                                        <w:drawing>
                                          <wp:inline distT="0" distB="0" distL="0" distR="0" wp14:anchorId="7957ACF3" wp14:editId="3392EF79">
                                            <wp:extent cx="6858000" cy="5980176"/>
                                            <wp:effectExtent l="0" t="0" r="0" b="1905"/>
                                            <wp:docPr id="9" name="Picture 4" descr="Close-up image showing the leaf-sides of two oversized books side-by-side on a bookshelf, with additional books in soft focus background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6245" t="3166" r="33102" b="17267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801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FC65EF" w14:paraId="3CD49E52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14:paraId="066967D2" w14:textId="33FF83AB" w:rsidR="00FC65EF" w:rsidRPr="00FC65EF" w:rsidRDefault="00030132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pt-PT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64"/>
                                            <w:szCs w:val="64"/>
                                            <w:lang w:val="pt-PT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A109FC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64"/>
                                              <w:szCs w:val="64"/>
                                              <w:lang w:val="pt-PT"/>
                                            </w:rPr>
                                            <w:t>REGIME SIMPLIFICADO</w:t>
                                          </w:r>
                                        </w:sdtContent>
                                      </w:sdt>
                                    </w:p>
                                    <w:p w14:paraId="14C0A05C" w14:textId="053C563E" w:rsidR="00FC65EF" w:rsidRPr="00FC65EF" w:rsidRDefault="00BB79BC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pt-PT"/>
                                        </w:rPr>
                                      </w:pPr>
                                      <w:r w:rsidRPr="00BB79BC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pt-PT"/>
                                        </w:rPr>
                                        <w:t>SISTEMA DE NORMALIZAÇÃO CONTABILÍSTICA PARA ADMINISTRAÇÕES PÚBLICAS</w:t>
                                      </w:r>
                                    </w:p>
                                  </w:tc>
                                </w:tr>
                                <w:tr w:rsidR="00FC65EF" w14:paraId="4A1F3D75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0"/>
                                        <w:gridCol w:w="3600"/>
                                        <w:gridCol w:w="3600"/>
                                      </w:tblGrid>
                                      <w:tr w:rsidR="00FC65EF" w14:paraId="72B8EC7B" w14:textId="77777777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590" w:type="dxa"/>
                                            <w:vAlign w:val="center"/>
                                          </w:tcPr>
                                          <w:p w14:paraId="43CA92C5" w14:textId="143BD76E" w:rsidR="00FC65EF" w:rsidRPr="00ED0685" w:rsidRDefault="00FC65EF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  <w:lang w:val="pt-PT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showingPlcHdr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13-01-24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EndPr/>
                                            <w:sdtContent>
                                              <w:p w14:paraId="4D6D6762" w14:textId="6782A141" w:rsidR="00FC65EF" w:rsidRDefault="00FC65EF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7923EFF1" w14:textId="249FFB7E" w:rsidR="00FC65EF" w:rsidRDefault="00FC65EF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3B55154F" w14:textId="77777777" w:rsidR="00FC65EF" w:rsidRDefault="00FC65EF"/>
                                  </w:tc>
                                </w:tr>
                              </w:tbl>
                              <w:p w14:paraId="2B858F77" w14:textId="77777777" w:rsidR="00FC65EF" w:rsidRDefault="00FC65E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1DD53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0"/>
                          </w:tblGrid>
                          <w:tr w:rsidR="00FC65EF" w14:paraId="0AB2BF81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39B9099E" w14:textId="77777777" w:rsidR="00FC65EF" w:rsidRDefault="00FC65EF">
                                <w:r>
                                  <w:rPr>
                                    <w:noProof/>
                                    <w:lang w:eastAsia="pt-PT"/>
                                  </w:rPr>
                                  <w:drawing>
                                    <wp:inline distT="0" distB="0" distL="0" distR="0" wp14:anchorId="7957ACF3" wp14:editId="3392EF79">
                                      <wp:extent cx="6858000" cy="5980176"/>
                                      <wp:effectExtent l="0" t="0" r="0" b="1905"/>
                                      <wp:docPr id="9" name="Picture 4" descr="Close-up image showing the leaf-sides of two oversized books side-by-side on a bookshelf, with additional books in soft focus backgroun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245" t="3166" r="33102" b="1726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8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FC65EF" w14:paraId="3CD49E52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14:paraId="066967D2" w14:textId="33FF83AB" w:rsidR="00FC65EF" w:rsidRPr="00FC65EF" w:rsidRDefault="00030132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  <w:lang w:val="pt-PT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64"/>
                                      <w:szCs w:val="64"/>
                                      <w:lang w:val="pt-PT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109FC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64"/>
                                        <w:szCs w:val="64"/>
                                        <w:lang w:val="pt-PT"/>
                                      </w:rPr>
                                      <w:t>REGIME SIMPLIFICADO</w:t>
                                    </w:r>
                                  </w:sdtContent>
                                </w:sdt>
                              </w:p>
                              <w:p w14:paraId="14C0A05C" w14:textId="053C563E" w:rsidR="00FC65EF" w:rsidRPr="00FC65EF" w:rsidRDefault="00BB79BC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pt-PT"/>
                                  </w:rPr>
                                </w:pPr>
                                <w:r w:rsidRPr="00BB79BC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pt-PT"/>
                                  </w:rPr>
                                  <w:t>SISTEMA DE NORMALIZAÇÃO CONTABILÍSTICA PARA ADMINISTRAÇÕES PÚBLICAS</w:t>
                                </w:r>
                              </w:p>
                            </w:tc>
                          </w:tr>
                          <w:tr w:rsidR="00FC65EF" w14:paraId="4A1F3D75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0"/>
                                  <w:gridCol w:w="3600"/>
                                  <w:gridCol w:w="3600"/>
                                </w:tblGrid>
                                <w:tr w:rsidR="00FC65EF" w14:paraId="72B8EC7B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590" w:type="dxa"/>
                                      <w:vAlign w:val="center"/>
                                    </w:tcPr>
                                    <w:p w14:paraId="43CA92C5" w14:textId="143BD76E" w:rsidR="00FC65EF" w:rsidRPr="00ED0685" w:rsidRDefault="00FC65EF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  <w:lang w:val="pt-PT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showingPlcHdr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13-01-24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4D6D6762" w14:textId="6782A141" w:rsidR="00FC65EF" w:rsidRDefault="00FC65EF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7923EFF1" w14:textId="249FFB7E" w:rsidR="00FC65EF" w:rsidRDefault="00FC65EF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3B55154F" w14:textId="77777777" w:rsidR="00FC65EF" w:rsidRDefault="00FC65EF"/>
                            </w:tc>
                          </w:tr>
                        </w:tbl>
                        <w:p w14:paraId="2B858F77" w14:textId="77777777" w:rsidR="00FC65EF" w:rsidRDefault="00FC65E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FEF3913" w14:textId="53A6B67D" w:rsidR="00FC65EF" w:rsidRDefault="00FC65EF">
          <w:r>
            <w:br w:type="page"/>
          </w:r>
        </w:p>
      </w:sdtContent>
    </w:sdt>
    <w:p w14:paraId="3111466A" w14:textId="6FAD2D89" w:rsidR="005B4295" w:rsidRDefault="005B4295"/>
    <w:p w14:paraId="2033E6B1" w14:textId="61B8CB17" w:rsidR="00FC65EF" w:rsidRPr="00FC65EF" w:rsidRDefault="003F01D5" w:rsidP="00FC65EF">
      <w:r>
        <w:rPr>
          <w:noProof/>
          <w:lang w:eastAsia="pt-PT"/>
        </w:rPr>
        <mc:AlternateContent>
          <mc:Choice Requires="wpg">
            <w:drawing>
              <wp:anchor distT="0" distB="0" distL="228600" distR="228600" simplePos="0" relativeHeight="251662336" behindDoc="1" locked="0" layoutInCell="1" allowOverlap="1" wp14:anchorId="268E4C66" wp14:editId="597E864B">
                <wp:simplePos x="0" y="0"/>
                <wp:positionH relativeFrom="margin">
                  <wp:posOffset>47625</wp:posOffset>
                </wp:positionH>
                <wp:positionV relativeFrom="margin">
                  <wp:posOffset>578485</wp:posOffset>
                </wp:positionV>
                <wp:extent cx="5724525" cy="3291840"/>
                <wp:effectExtent l="0" t="0" r="9525" b="3810"/>
                <wp:wrapTight wrapText="bothSides">
                  <wp:wrapPolygon edited="0">
                    <wp:start x="0" y="0"/>
                    <wp:lineTo x="0" y="21500"/>
                    <wp:lineTo x="21564" y="21500"/>
                    <wp:lineTo x="21564" y="0"/>
                    <wp:lineTo x="0" y="0"/>
                  </wp:wrapPolygon>
                </wp:wrapTight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291840"/>
                          <a:chOff x="0" y="0"/>
                          <a:chExt cx="1828800" cy="4837174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390989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E940C" w14:textId="6561C284" w:rsidR="00FC65EF" w:rsidRDefault="00FC65EF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 w:rsidRPr="00A76B44">
                                <w:rPr>
                                  <w:color w:val="FFFFFF" w:themeColor="background1"/>
                                </w:rPr>
                                <w:t xml:space="preserve">Direção de Serviços de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Apoio Jurídico e à Administração Local</w:t>
                              </w:r>
                            </w:p>
                            <w:p w14:paraId="73A249C0" w14:textId="1FD4B7D5" w:rsidR="00FC65EF" w:rsidRDefault="00FC65EF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33F45033" w14:textId="7763A47A" w:rsidR="00FC65EF" w:rsidRDefault="003F01D5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Coordenação: </w:t>
                              </w:r>
                              <w:r w:rsidR="00FC65EF">
                                <w:rPr>
                                  <w:color w:val="FFFFFF" w:themeColor="background1"/>
                                </w:rPr>
                                <w:t xml:space="preserve">Carlos Branco | Chefe de Divisão de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Finanças Locais e Modernização</w:t>
                              </w:r>
                            </w:p>
                            <w:p w14:paraId="3EB57B56" w14:textId="77777777" w:rsidR="00FC65EF" w:rsidRDefault="00FC65EF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3495EAB" w14:textId="34476DAA" w:rsidR="00FC65EF" w:rsidRDefault="003F01D5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Recolha e </w:t>
                              </w:r>
                              <w:r w:rsidR="00FC65EF">
                                <w:rPr>
                                  <w:color w:val="FFFFFF" w:themeColor="background1"/>
                                </w:rPr>
                                <w:t>Tratamento da informação</w:t>
                              </w:r>
                            </w:p>
                            <w:p w14:paraId="40C1AA73" w14:textId="19A3DFE9" w:rsidR="00FC65EF" w:rsidRDefault="00FC65EF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Ana Caeiro | Técnica Superior</w:t>
                              </w:r>
                              <w:r w:rsidR="003F01D5">
                                <w:rPr>
                                  <w:color w:val="FFFFFF" w:themeColor="background1"/>
                                </w:rPr>
                                <w:t xml:space="preserve"> | Divisão de Finanças Locais e Modernização </w:t>
                              </w:r>
                            </w:p>
                            <w:p w14:paraId="49364AA6" w14:textId="52BE5BE1" w:rsidR="00FC65EF" w:rsidRDefault="00FC65EF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2DA9CE5" w14:textId="50DA21F1" w:rsidR="00FC65EF" w:rsidRPr="00A76B44" w:rsidRDefault="00FC65EF" w:rsidP="00FC65EF">
                              <w:pPr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CCDR</w:t>
                              </w:r>
                              <w:r w:rsidR="003F3235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A</w:t>
                              </w:r>
                              <w:r w:rsidR="003F3235">
                                <w:rPr>
                                  <w:color w:val="FFFFFF" w:themeColor="background1"/>
                                </w:rPr>
                                <w:t>lentejo</w:t>
                              </w:r>
                              <w:r w:rsidR="00BB79BC">
                                <w:rPr>
                                  <w:color w:val="FFFFFF" w:themeColor="background1"/>
                                </w:rPr>
                                <w:t xml:space="preserve"> |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</w:rPr>
                                <w:t>Junho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</w:rPr>
                                <w:t xml:space="preserve"> de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1B99D5" w14:textId="77777777" w:rsidR="00FC65EF" w:rsidRPr="00A76B44" w:rsidRDefault="00FC65EF" w:rsidP="00FC65EF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A76B44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FICHA TÉCNICA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E4C66" id="Group 201" o:spid="_x0000_s1027" style="position:absolute;margin-left:3.75pt;margin-top:45.55pt;width:450.75pt;height:259.2pt;z-index:-251654144;mso-wrap-distance-left:18pt;mso-wrap-distance-right:18pt;mso-position-horizontal-relative:margin;mso-position-vertical-relative:margin;mso-width-relative:margin;mso-height-relative:margin" coordsize="18288,48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">
                <v:rect id="Rectangle 202" o:spid="_x0000_s1028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4472c4 [3204]" stroked="f" strokeweight="1pt"/>
                <v:rect id="Rectangle 203" o:spid="_x0000_s1029" style="position:absolute;top:9272;width:18288;height:3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199E940C" w14:textId="6561C284" w:rsidR="00FC65EF" w:rsidRDefault="00FC65EF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 w:rsidRPr="00A76B44">
                          <w:rPr>
                            <w:color w:val="FFFFFF" w:themeColor="background1"/>
                          </w:rPr>
                          <w:t xml:space="preserve">Direção de Serviços de </w:t>
                        </w:r>
                        <w:r>
                          <w:rPr>
                            <w:color w:val="FFFFFF" w:themeColor="background1"/>
                          </w:rPr>
                          <w:t>Apoio Jurídico e à Administração Local</w:t>
                        </w:r>
                      </w:p>
                      <w:p w14:paraId="73A249C0" w14:textId="1FD4B7D5" w:rsidR="00FC65EF" w:rsidRDefault="00FC65EF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</w:p>
                      <w:p w14:paraId="33F45033" w14:textId="7763A47A" w:rsidR="00FC65EF" w:rsidRDefault="003F01D5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Coordenação: </w:t>
                        </w:r>
                        <w:r w:rsidR="00FC65EF">
                          <w:rPr>
                            <w:color w:val="FFFFFF" w:themeColor="background1"/>
                          </w:rPr>
                          <w:t xml:space="preserve">Carlos Branco | Chefe de Divisão de </w:t>
                        </w:r>
                        <w:r>
                          <w:rPr>
                            <w:color w:val="FFFFFF" w:themeColor="background1"/>
                          </w:rPr>
                          <w:t>Finanças Locais e Modernização</w:t>
                        </w:r>
                      </w:p>
                      <w:p w14:paraId="3EB57B56" w14:textId="77777777" w:rsidR="00FC65EF" w:rsidRDefault="00FC65EF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</w:p>
                      <w:p w14:paraId="53495EAB" w14:textId="34476DAA" w:rsidR="00FC65EF" w:rsidRDefault="003F01D5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Recolha e </w:t>
                        </w:r>
                        <w:r w:rsidR="00FC65EF">
                          <w:rPr>
                            <w:color w:val="FFFFFF" w:themeColor="background1"/>
                          </w:rPr>
                          <w:t>Tratamento da informação</w:t>
                        </w:r>
                      </w:p>
                      <w:p w14:paraId="40C1AA73" w14:textId="19A3DFE9" w:rsidR="00FC65EF" w:rsidRDefault="00FC65EF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Ana Caeiro | Técnica Superior</w:t>
                        </w:r>
                        <w:r w:rsidR="003F01D5">
                          <w:rPr>
                            <w:color w:val="FFFFFF" w:themeColor="background1"/>
                          </w:rPr>
                          <w:t xml:space="preserve"> | Divisão de Finanças Locais e Modernização </w:t>
                        </w:r>
                      </w:p>
                      <w:p w14:paraId="49364AA6" w14:textId="52BE5BE1" w:rsidR="00FC65EF" w:rsidRDefault="00FC65EF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</w:p>
                      <w:p w14:paraId="42DA9CE5" w14:textId="50DA21F1" w:rsidR="00FC65EF" w:rsidRPr="00A76B44" w:rsidRDefault="00FC65EF" w:rsidP="00FC65EF">
                        <w:pPr>
                          <w:jc w:val="both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CCDR</w:t>
                        </w:r>
                        <w:r w:rsidR="003F3235">
                          <w:rPr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</w:rPr>
                          <w:t>A</w:t>
                        </w:r>
                        <w:r w:rsidR="003F3235">
                          <w:rPr>
                            <w:color w:val="FFFFFF" w:themeColor="background1"/>
                          </w:rPr>
                          <w:t>lentejo</w:t>
                        </w:r>
                        <w:r w:rsidR="00BB79BC">
                          <w:rPr>
                            <w:color w:val="FFFFFF" w:themeColor="background1"/>
                          </w:rPr>
                          <w:t xml:space="preserve"> | </w:t>
                        </w:r>
                        <w:proofErr w:type="gramStart"/>
                        <w:r>
                          <w:rPr>
                            <w:color w:val="FFFFFF" w:themeColor="background1"/>
                          </w:rPr>
                          <w:t>Junho</w:t>
                        </w:r>
                        <w:proofErr w:type="gramEnd"/>
                        <w:r>
                          <w:rPr>
                            <w:color w:val="FFFFFF" w:themeColor="background1"/>
                          </w:rPr>
                          <w:t xml:space="preserve"> de 2021</w:t>
                        </w:r>
                      </w:p>
                    </w:txbxContent>
                  </v:textbox>
                </v:rect>
                <v:shape id="Text Box 204" o:spid="_x0000_s1030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01B99D5" w14:textId="77777777" w:rsidR="00FC65EF" w:rsidRPr="00A76B44" w:rsidRDefault="00FC65EF" w:rsidP="00FC65EF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A76B44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FICHA TÉCNICA</w:t>
                        </w:r>
                      </w:p>
                    </w:txbxContent>
                  </v:textbox>
                </v:shape>
                <w10:wrap type="tight" anchorx="margin" anchory="margin"/>
              </v:group>
            </w:pict>
          </mc:Fallback>
        </mc:AlternateContent>
      </w:r>
    </w:p>
    <w:p w14:paraId="7E2EB1CE" w14:textId="60683987" w:rsidR="00FC65EF" w:rsidRPr="00FC65EF" w:rsidRDefault="00FC65EF" w:rsidP="00FC65EF"/>
    <w:p w14:paraId="1973CD08" w14:textId="0A8D6F58" w:rsidR="00FC65EF" w:rsidRPr="00FC65EF" w:rsidRDefault="00FC65EF" w:rsidP="00FC65EF"/>
    <w:p w14:paraId="6EF548B9" w14:textId="52F3E588" w:rsidR="00FC65EF" w:rsidRPr="00FC65EF" w:rsidRDefault="00FC65EF" w:rsidP="00FC65EF"/>
    <w:p w14:paraId="71B963DA" w14:textId="70388D0A" w:rsidR="00FC65EF" w:rsidRPr="00FC65EF" w:rsidRDefault="00FC65EF" w:rsidP="00FC65EF"/>
    <w:p w14:paraId="4487B9BC" w14:textId="25ED39F0" w:rsidR="00FC65EF" w:rsidRPr="00FC65EF" w:rsidRDefault="00FC65EF" w:rsidP="00FC65EF"/>
    <w:p w14:paraId="18D48175" w14:textId="6355E3EB" w:rsidR="00FC65EF" w:rsidRDefault="00FC65EF" w:rsidP="00FC65EF">
      <w:pPr>
        <w:tabs>
          <w:tab w:val="left" w:pos="1980"/>
        </w:tabs>
      </w:pPr>
      <w:r>
        <w:tab/>
      </w:r>
    </w:p>
    <w:p w14:paraId="221D00A3" w14:textId="77777777" w:rsidR="00D97361" w:rsidRDefault="00D97361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t-PT"/>
        </w:rPr>
        <w:id w:val="-42673657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357A15" w14:textId="6FA1F406" w:rsidR="00D97361" w:rsidRDefault="00D97361">
          <w:pPr>
            <w:pStyle w:val="TOCHeading"/>
            <w:rPr>
              <w:b/>
              <w:bCs/>
              <w:sz w:val="28"/>
              <w:szCs w:val="28"/>
            </w:rPr>
          </w:pPr>
          <w:r w:rsidRPr="00D97361">
            <w:rPr>
              <w:b/>
              <w:bCs/>
              <w:sz w:val="28"/>
              <w:szCs w:val="28"/>
            </w:rPr>
            <w:t>ÍNDICE</w:t>
          </w:r>
          <w:r w:rsidR="005C2078">
            <w:rPr>
              <w:b/>
              <w:bCs/>
              <w:sz w:val="28"/>
              <w:szCs w:val="28"/>
            </w:rPr>
            <w:t xml:space="preserve"> GERAL</w:t>
          </w:r>
        </w:p>
        <w:p w14:paraId="3CF976E1" w14:textId="77777777" w:rsidR="00D97361" w:rsidRPr="00D97361" w:rsidRDefault="00D97361" w:rsidP="00D97361">
          <w:pPr>
            <w:rPr>
              <w:lang w:val="en-US"/>
            </w:rPr>
          </w:pPr>
        </w:p>
        <w:p w14:paraId="43DA0E1F" w14:textId="54BB6912" w:rsidR="00686F8A" w:rsidRPr="00686F8A" w:rsidRDefault="00D97361" w:rsidP="00E71C2E">
          <w:pPr>
            <w:pStyle w:val="TOC1"/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342182" w:history="1"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I.</w:t>
            </w:r>
            <w:r w:rsidR="00686F8A" w:rsidRPr="00686F8A">
              <w:rPr>
                <w:rFonts w:eastAsiaTheme="minorEastAsia"/>
                <w:noProof/>
                <w:lang w:eastAsia="pt-PT"/>
              </w:rPr>
              <w:tab/>
            </w:r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INTRODUÇÃO</w:t>
            </w:r>
            <w:r w:rsidR="00686F8A" w:rsidRPr="00686F8A">
              <w:rPr>
                <w:noProof/>
                <w:webHidden/>
              </w:rPr>
              <w:tab/>
            </w:r>
            <w:r w:rsidR="00686F8A" w:rsidRPr="00686F8A">
              <w:rPr>
                <w:noProof/>
                <w:webHidden/>
              </w:rPr>
              <w:fldChar w:fldCharType="begin"/>
            </w:r>
            <w:r w:rsidR="00686F8A" w:rsidRPr="00686F8A">
              <w:rPr>
                <w:noProof/>
                <w:webHidden/>
              </w:rPr>
              <w:instrText xml:space="preserve"> PAGEREF _Toc75342182 \h </w:instrText>
            </w:r>
            <w:r w:rsidR="00686F8A" w:rsidRPr="00686F8A">
              <w:rPr>
                <w:noProof/>
                <w:webHidden/>
              </w:rPr>
            </w:r>
            <w:r w:rsidR="00686F8A" w:rsidRPr="00686F8A">
              <w:rPr>
                <w:noProof/>
                <w:webHidden/>
              </w:rPr>
              <w:fldChar w:fldCharType="separate"/>
            </w:r>
            <w:r w:rsidR="00B92913">
              <w:rPr>
                <w:noProof/>
                <w:webHidden/>
              </w:rPr>
              <w:t>4</w:t>
            </w:r>
            <w:r w:rsidR="00686F8A" w:rsidRPr="00686F8A">
              <w:rPr>
                <w:noProof/>
                <w:webHidden/>
              </w:rPr>
              <w:fldChar w:fldCharType="end"/>
            </w:r>
          </w:hyperlink>
        </w:p>
        <w:p w14:paraId="1F5C8452" w14:textId="6B1E97BD" w:rsidR="00686F8A" w:rsidRPr="00686F8A" w:rsidRDefault="00030132" w:rsidP="00E71C2E">
          <w:pPr>
            <w:pStyle w:val="TOC1"/>
            <w:rPr>
              <w:rFonts w:eastAsiaTheme="minorEastAsia"/>
              <w:noProof/>
              <w:lang w:eastAsia="pt-PT"/>
            </w:rPr>
          </w:pPr>
          <w:hyperlink w:anchor="_Toc75342183" w:history="1"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II.</w:t>
            </w:r>
            <w:r w:rsidR="00686F8A" w:rsidRPr="00686F8A">
              <w:rPr>
                <w:rFonts w:eastAsiaTheme="minorEastAsia"/>
                <w:noProof/>
                <w:lang w:eastAsia="pt-PT"/>
              </w:rPr>
              <w:tab/>
            </w:r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NORMA DE CONTABILIDADE PÚBLICA – PEQUENAS ENTIDADES (NCP-PE)</w:t>
            </w:r>
            <w:r w:rsidR="00686F8A" w:rsidRPr="00686F8A">
              <w:rPr>
                <w:noProof/>
                <w:webHidden/>
              </w:rPr>
              <w:tab/>
            </w:r>
            <w:r w:rsidR="00686F8A" w:rsidRPr="00686F8A">
              <w:rPr>
                <w:noProof/>
                <w:webHidden/>
              </w:rPr>
              <w:fldChar w:fldCharType="begin"/>
            </w:r>
            <w:r w:rsidR="00686F8A" w:rsidRPr="00686F8A">
              <w:rPr>
                <w:noProof/>
                <w:webHidden/>
              </w:rPr>
              <w:instrText xml:space="preserve"> PAGEREF _Toc75342183 \h </w:instrText>
            </w:r>
            <w:r w:rsidR="00686F8A" w:rsidRPr="00686F8A">
              <w:rPr>
                <w:noProof/>
                <w:webHidden/>
              </w:rPr>
            </w:r>
            <w:r w:rsidR="00686F8A" w:rsidRPr="00686F8A">
              <w:rPr>
                <w:noProof/>
                <w:webHidden/>
              </w:rPr>
              <w:fldChar w:fldCharType="separate"/>
            </w:r>
            <w:r w:rsidR="00B92913">
              <w:rPr>
                <w:noProof/>
                <w:webHidden/>
              </w:rPr>
              <w:t>7</w:t>
            </w:r>
            <w:r w:rsidR="00686F8A" w:rsidRPr="00686F8A">
              <w:rPr>
                <w:noProof/>
                <w:webHidden/>
              </w:rPr>
              <w:fldChar w:fldCharType="end"/>
            </w:r>
          </w:hyperlink>
        </w:p>
        <w:p w14:paraId="3B4CF516" w14:textId="5FE75281" w:rsidR="00686F8A" w:rsidRPr="00686F8A" w:rsidRDefault="00030132" w:rsidP="00E71C2E">
          <w:pPr>
            <w:pStyle w:val="TOC1"/>
            <w:rPr>
              <w:rFonts w:eastAsiaTheme="minorEastAsia"/>
              <w:noProof/>
              <w:lang w:eastAsia="pt-PT"/>
            </w:rPr>
          </w:pPr>
          <w:hyperlink w:anchor="_Toc75342184" w:history="1"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III.</w:t>
            </w:r>
            <w:r w:rsidR="00686F8A" w:rsidRPr="00686F8A">
              <w:rPr>
                <w:rFonts w:eastAsiaTheme="minorEastAsia"/>
                <w:noProof/>
                <w:lang w:eastAsia="pt-PT"/>
              </w:rPr>
              <w:tab/>
            </w:r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PRESTAÇÃO DE CONTAS</w:t>
            </w:r>
            <w:r w:rsidR="00686F8A" w:rsidRPr="00686F8A">
              <w:rPr>
                <w:noProof/>
                <w:webHidden/>
              </w:rPr>
              <w:tab/>
            </w:r>
            <w:r w:rsidR="00686F8A" w:rsidRPr="00686F8A">
              <w:rPr>
                <w:noProof/>
                <w:webHidden/>
              </w:rPr>
              <w:fldChar w:fldCharType="begin"/>
            </w:r>
            <w:r w:rsidR="00686F8A" w:rsidRPr="00686F8A">
              <w:rPr>
                <w:noProof/>
                <w:webHidden/>
              </w:rPr>
              <w:instrText xml:space="preserve"> PAGEREF _Toc75342184 \h </w:instrText>
            </w:r>
            <w:r w:rsidR="00686F8A" w:rsidRPr="00686F8A">
              <w:rPr>
                <w:noProof/>
                <w:webHidden/>
              </w:rPr>
            </w:r>
            <w:r w:rsidR="00686F8A" w:rsidRPr="00686F8A">
              <w:rPr>
                <w:noProof/>
                <w:webHidden/>
              </w:rPr>
              <w:fldChar w:fldCharType="separate"/>
            </w:r>
            <w:r w:rsidR="00B92913">
              <w:rPr>
                <w:noProof/>
                <w:webHidden/>
              </w:rPr>
              <w:t>7</w:t>
            </w:r>
            <w:r w:rsidR="00686F8A" w:rsidRPr="00686F8A">
              <w:rPr>
                <w:noProof/>
                <w:webHidden/>
              </w:rPr>
              <w:fldChar w:fldCharType="end"/>
            </w:r>
          </w:hyperlink>
        </w:p>
        <w:p w14:paraId="126328C8" w14:textId="11A9A836" w:rsidR="00686F8A" w:rsidRPr="00686F8A" w:rsidRDefault="00030132" w:rsidP="00E71C2E">
          <w:pPr>
            <w:pStyle w:val="TOC1"/>
            <w:rPr>
              <w:rFonts w:eastAsiaTheme="minorEastAsia"/>
              <w:noProof/>
              <w:lang w:eastAsia="pt-PT"/>
            </w:rPr>
          </w:pPr>
          <w:hyperlink w:anchor="_Toc75342185" w:history="1"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IV.</w:t>
            </w:r>
            <w:r w:rsidR="00686F8A" w:rsidRPr="00686F8A">
              <w:rPr>
                <w:rFonts w:eastAsiaTheme="minorEastAsia"/>
                <w:noProof/>
                <w:lang w:eastAsia="pt-PT"/>
              </w:rPr>
              <w:tab/>
            </w:r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CONCLUSÃO</w:t>
            </w:r>
            <w:r w:rsidR="00686F8A" w:rsidRPr="00686F8A">
              <w:rPr>
                <w:noProof/>
                <w:webHidden/>
              </w:rPr>
              <w:tab/>
            </w:r>
            <w:r w:rsidR="00686F8A" w:rsidRPr="00686F8A">
              <w:rPr>
                <w:noProof/>
                <w:webHidden/>
              </w:rPr>
              <w:fldChar w:fldCharType="begin"/>
            </w:r>
            <w:r w:rsidR="00686F8A" w:rsidRPr="00686F8A">
              <w:rPr>
                <w:noProof/>
                <w:webHidden/>
              </w:rPr>
              <w:instrText xml:space="preserve"> PAGEREF _Toc75342185 \h </w:instrText>
            </w:r>
            <w:r w:rsidR="00686F8A" w:rsidRPr="00686F8A">
              <w:rPr>
                <w:noProof/>
                <w:webHidden/>
              </w:rPr>
            </w:r>
            <w:r w:rsidR="00686F8A" w:rsidRPr="00686F8A">
              <w:rPr>
                <w:noProof/>
                <w:webHidden/>
              </w:rPr>
              <w:fldChar w:fldCharType="separate"/>
            </w:r>
            <w:r w:rsidR="00B92913">
              <w:rPr>
                <w:noProof/>
                <w:webHidden/>
              </w:rPr>
              <w:t>10</w:t>
            </w:r>
            <w:r w:rsidR="00686F8A" w:rsidRPr="00686F8A">
              <w:rPr>
                <w:noProof/>
                <w:webHidden/>
              </w:rPr>
              <w:fldChar w:fldCharType="end"/>
            </w:r>
          </w:hyperlink>
        </w:p>
        <w:p w14:paraId="012047B1" w14:textId="2E4B06E4" w:rsidR="00686F8A" w:rsidRDefault="00030132" w:rsidP="00E71C2E">
          <w:pPr>
            <w:pStyle w:val="TOC1"/>
            <w:rPr>
              <w:rFonts w:eastAsiaTheme="minorEastAsia"/>
              <w:noProof/>
              <w:lang w:eastAsia="pt-PT"/>
            </w:rPr>
          </w:pPr>
          <w:hyperlink w:anchor="_Toc75342186" w:history="1"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V.</w:t>
            </w:r>
            <w:r w:rsidR="00686F8A" w:rsidRPr="00686F8A">
              <w:rPr>
                <w:rFonts w:eastAsiaTheme="minorEastAsia"/>
                <w:noProof/>
                <w:lang w:eastAsia="pt-PT"/>
              </w:rPr>
              <w:tab/>
            </w:r>
            <w:r w:rsidR="00686F8A" w:rsidRPr="00686F8A">
              <w:rPr>
                <w:rStyle w:val="Hyperlink"/>
                <w:b/>
                <w:bCs/>
                <w:noProof/>
                <w:color w:val="222A35" w:themeColor="text2" w:themeShade="80"/>
              </w:rPr>
              <w:t>BIBLIOGRAFIA</w:t>
            </w:r>
            <w:r w:rsidR="00686F8A" w:rsidRPr="00686F8A">
              <w:rPr>
                <w:noProof/>
                <w:webHidden/>
              </w:rPr>
              <w:tab/>
            </w:r>
            <w:r w:rsidR="00686F8A" w:rsidRPr="00686F8A">
              <w:rPr>
                <w:noProof/>
                <w:webHidden/>
              </w:rPr>
              <w:fldChar w:fldCharType="begin"/>
            </w:r>
            <w:r w:rsidR="00686F8A" w:rsidRPr="00686F8A">
              <w:rPr>
                <w:noProof/>
                <w:webHidden/>
              </w:rPr>
              <w:instrText xml:space="preserve"> PAGEREF _Toc75342186 \h </w:instrText>
            </w:r>
            <w:r w:rsidR="00686F8A" w:rsidRPr="00686F8A">
              <w:rPr>
                <w:noProof/>
                <w:webHidden/>
              </w:rPr>
            </w:r>
            <w:r w:rsidR="00686F8A" w:rsidRPr="00686F8A">
              <w:rPr>
                <w:noProof/>
                <w:webHidden/>
              </w:rPr>
              <w:fldChar w:fldCharType="separate"/>
            </w:r>
            <w:r w:rsidR="00B92913">
              <w:rPr>
                <w:noProof/>
                <w:webHidden/>
              </w:rPr>
              <w:t>11</w:t>
            </w:r>
            <w:r w:rsidR="00686F8A" w:rsidRPr="00686F8A">
              <w:rPr>
                <w:noProof/>
                <w:webHidden/>
              </w:rPr>
              <w:fldChar w:fldCharType="end"/>
            </w:r>
          </w:hyperlink>
        </w:p>
        <w:p w14:paraId="15996733" w14:textId="4E6B0C45" w:rsidR="00D97361" w:rsidRDefault="00D97361" w:rsidP="002A01D4">
          <w:pPr>
            <w:jc w:val="both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602D78A" w14:textId="77777777" w:rsidR="005C2078" w:rsidRDefault="005C2078">
      <w:r>
        <w:br w:type="page"/>
      </w:r>
    </w:p>
    <w:p w14:paraId="108C6C30" w14:textId="77777777" w:rsidR="005C2078" w:rsidRPr="005C2078" w:rsidRDefault="005C207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en-US"/>
        </w:rPr>
      </w:pPr>
      <w:r w:rsidRPr="005C207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en-US"/>
        </w:rPr>
        <w:lastRenderedPageBreak/>
        <w:t>ÍNDICE DE QUADROS</w:t>
      </w:r>
    </w:p>
    <w:p w14:paraId="24EACF69" w14:textId="77777777" w:rsidR="005C2078" w:rsidRDefault="005C2078"/>
    <w:p w14:paraId="3D066E8A" w14:textId="65C2EF9B" w:rsidR="00B92913" w:rsidRPr="00030132" w:rsidRDefault="00B92913">
      <w:pPr>
        <w:pStyle w:val="TableofFigures"/>
        <w:tabs>
          <w:tab w:val="right" w:leader="dot" w:pos="8494"/>
        </w:tabs>
        <w:rPr>
          <w:rFonts w:eastAsiaTheme="minorEastAsia"/>
          <w:noProof/>
          <w:color w:val="222A35" w:themeColor="text2" w:themeShade="80"/>
          <w:lang w:eastAsia="pt-PT"/>
        </w:rPr>
      </w:pPr>
      <w:r w:rsidRPr="00030132">
        <w:rPr>
          <w:color w:val="222A35" w:themeColor="text2" w:themeShade="80"/>
        </w:rPr>
        <w:fldChar w:fldCharType="begin"/>
      </w:r>
      <w:r w:rsidRPr="00030132">
        <w:rPr>
          <w:color w:val="222A35" w:themeColor="text2" w:themeShade="80"/>
        </w:rPr>
        <w:instrText xml:space="preserve"> TOC \h \z \c "Quadro" </w:instrText>
      </w:r>
      <w:r w:rsidRPr="00030132">
        <w:rPr>
          <w:color w:val="222A35" w:themeColor="text2" w:themeShade="80"/>
        </w:rPr>
        <w:fldChar w:fldCharType="separate"/>
      </w:r>
      <w:hyperlink w:anchor="_Toc75783065" w:history="1">
        <w:r w:rsidRPr="00030132">
          <w:rPr>
            <w:rStyle w:val="Hyperlink"/>
            <w:noProof/>
            <w:color w:val="222A35" w:themeColor="text2" w:themeShade="80"/>
          </w:rPr>
          <w:t>Quadro 1 - Regimes contabilísticos e respetivos instrumentos contabilísticos</w:t>
        </w:r>
        <w:r w:rsidRPr="00030132">
          <w:rPr>
            <w:noProof/>
            <w:webHidden/>
            <w:color w:val="222A35" w:themeColor="text2" w:themeShade="80"/>
          </w:rPr>
          <w:tab/>
        </w:r>
        <w:r w:rsidRPr="00030132">
          <w:rPr>
            <w:noProof/>
            <w:webHidden/>
            <w:color w:val="222A35" w:themeColor="text2" w:themeShade="80"/>
          </w:rPr>
          <w:fldChar w:fldCharType="begin"/>
        </w:r>
        <w:r w:rsidRPr="00030132">
          <w:rPr>
            <w:noProof/>
            <w:webHidden/>
            <w:color w:val="222A35" w:themeColor="text2" w:themeShade="80"/>
          </w:rPr>
          <w:instrText xml:space="preserve"> PAGEREF _Toc75783065 \h </w:instrText>
        </w:r>
        <w:r w:rsidRPr="00030132">
          <w:rPr>
            <w:noProof/>
            <w:webHidden/>
            <w:color w:val="222A35" w:themeColor="text2" w:themeShade="80"/>
          </w:rPr>
        </w:r>
        <w:r w:rsidRPr="00030132">
          <w:rPr>
            <w:noProof/>
            <w:webHidden/>
            <w:color w:val="222A35" w:themeColor="text2" w:themeShade="80"/>
          </w:rPr>
          <w:fldChar w:fldCharType="separate"/>
        </w:r>
        <w:r w:rsidRPr="00030132">
          <w:rPr>
            <w:noProof/>
            <w:webHidden/>
            <w:color w:val="222A35" w:themeColor="text2" w:themeShade="80"/>
          </w:rPr>
          <w:t>4</w:t>
        </w:r>
        <w:r w:rsidRPr="00030132">
          <w:rPr>
            <w:noProof/>
            <w:webHidden/>
            <w:color w:val="222A35" w:themeColor="text2" w:themeShade="80"/>
          </w:rPr>
          <w:fldChar w:fldCharType="end"/>
        </w:r>
      </w:hyperlink>
    </w:p>
    <w:p w14:paraId="3ACB8504" w14:textId="19905A1D" w:rsidR="00B92913" w:rsidRPr="00030132" w:rsidRDefault="00B92913">
      <w:pPr>
        <w:pStyle w:val="TableofFigures"/>
        <w:tabs>
          <w:tab w:val="right" w:leader="dot" w:pos="8494"/>
        </w:tabs>
        <w:rPr>
          <w:rFonts w:eastAsiaTheme="minorEastAsia"/>
          <w:noProof/>
          <w:color w:val="222A35" w:themeColor="text2" w:themeShade="80"/>
          <w:lang w:eastAsia="pt-PT"/>
        </w:rPr>
      </w:pPr>
      <w:hyperlink w:anchor="_Toc75783066" w:history="1">
        <w:r w:rsidRPr="00030132">
          <w:rPr>
            <w:rStyle w:val="Hyperlink"/>
            <w:noProof/>
            <w:color w:val="222A35" w:themeColor="text2" w:themeShade="80"/>
          </w:rPr>
          <w:t>Quadro 2 - Demonstrações Financeiras e Orçamentais das Pequenas Entidades</w:t>
        </w:r>
        <w:r w:rsidRPr="00030132">
          <w:rPr>
            <w:noProof/>
            <w:webHidden/>
            <w:color w:val="222A35" w:themeColor="text2" w:themeShade="80"/>
          </w:rPr>
          <w:tab/>
        </w:r>
        <w:r w:rsidRPr="00030132">
          <w:rPr>
            <w:noProof/>
            <w:webHidden/>
            <w:color w:val="222A35" w:themeColor="text2" w:themeShade="80"/>
          </w:rPr>
          <w:fldChar w:fldCharType="begin"/>
        </w:r>
        <w:r w:rsidRPr="00030132">
          <w:rPr>
            <w:noProof/>
            <w:webHidden/>
            <w:color w:val="222A35" w:themeColor="text2" w:themeShade="80"/>
          </w:rPr>
          <w:instrText xml:space="preserve"> PAGEREF _Toc75783066 \h </w:instrText>
        </w:r>
        <w:r w:rsidRPr="00030132">
          <w:rPr>
            <w:noProof/>
            <w:webHidden/>
            <w:color w:val="222A35" w:themeColor="text2" w:themeShade="80"/>
          </w:rPr>
        </w:r>
        <w:r w:rsidRPr="00030132">
          <w:rPr>
            <w:noProof/>
            <w:webHidden/>
            <w:color w:val="222A35" w:themeColor="text2" w:themeShade="80"/>
          </w:rPr>
          <w:fldChar w:fldCharType="separate"/>
        </w:r>
        <w:r w:rsidRPr="00030132">
          <w:rPr>
            <w:noProof/>
            <w:webHidden/>
            <w:color w:val="222A35" w:themeColor="text2" w:themeShade="80"/>
          </w:rPr>
          <w:t>8</w:t>
        </w:r>
        <w:r w:rsidRPr="00030132">
          <w:rPr>
            <w:noProof/>
            <w:webHidden/>
            <w:color w:val="222A35" w:themeColor="text2" w:themeShade="80"/>
          </w:rPr>
          <w:fldChar w:fldCharType="end"/>
        </w:r>
      </w:hyperlink>
    </w:p>
    <w:p w14:paraId="2CBABEF9" w14:textId="5233019F" w:rsidR="00B92913" w:rsidRPr="00030132" w:rsidRDefault="00B92913">
      <w:pPr>
        <w:pStyle w:val="TableofFigures"/>
        <w:tabs>
          <w:tab w:val="right" w:leader="dot" w:pos="8494"/>
        </w:tabs>
        <w:rPr>
          <w:rFonts w:eastAsiaTheme="minorEastAsia"/>
          <w:noProof/>
          <w:color w:val="222A35" w:themeColor="text2" w:themeShade="80"/>
          <w:lang w:eastAsia="pt-PT"/>
        </w:rPr>
      </w:pPr>
      <w:hyperlink w:anchor="_Toc75783067" w:history="1">
        <w:r w:rsidRPr="00030132">
          <w:rPr>
            <w:rStyle w:val="Hyperlink"/>
            <w:noProof/>
            <w:color w:val="222A35" w:themeColor="text2" w:themeShade="80"/>
          </w:rPr>
          <w:t>Quadro 3 - Demonstrações Orçamentais das Microentidades</w:t>
        </w:r>
        <w:r w:rsidRPr="00030132">
          <w:rPr>
            <w:noProof/>
            <w:webHidden/>
            <w:color w:val="222A35" w:themeColor="text2" w:themeShade="80"/>
          </w:rPr>
          <w:tab/>
        </w:r>
        <w:r w:rsidRPr="00030132">
          <w:rPr>
            <w:noProof/>
            <w:webHidden/>
            <w:color w:val="222A35" w:themeColor="text2" w:themeShade="80"/>
          </w:rPr>
          <w:fldChar w:fldCharType="begin"/>
        </w:r>
        <w:r w:rsidRPr="00030132">
          <w:rPr>
            <w:noProof/>
            <w:webHidden/>
            <w:color w:val="222A35" w:themeColor="text2" w:themeShade="80"/>
          </w:rPr>
          <w:instrText xml:space="preserve"> PAGEREF _Toc75783067 \h </w:instrText>
        </w:r>
        <w:r w:rsidRPr="00030132">
          <w:rPr>
            <w:noProof/>
            <w:webHidden/>
            <w:color w:val="222A35" w:themeColor="text2" w:themeShade="80"/>
          </w:rPr>
        </w:r>
        <w:r w:rsidRPr="00030132">
          <w:rPr>
            <w:noProof/>
            <w:webHidden/>
            <w:color w:val="222A35" w:themeColor="text2" w:themeShade="80"/>
          </w:rPr>
          <w:fldChar w:fldCharType="separate"/>
        </w:r>
        <w:r w:rsidRPr="00030132">
          <w:rPr>
            <w:noProof/>
            <w:webHidden/>
            <w:color w:val="222A35" w:themeColor="text2" w:themeShade="80"/>
          </w:rPr>
          <w:t>9</w:t>
        </w:r>
        <w:r w:rsidRPr="00030132">
          <w:rPr>
            <w:noProof/>
            <w:webHidden/>
            <w:color w:val="222A35" w:themeColor="text2" w:themeShade="80"/>
          </w:rPr>
          <w:fldChar w:fldCharType="end"/>
        </w:r>
      </w:hyperlink>
    </w:p>
    <w:p w14:paraId="71158A88" w14:textId="133D2C1A" w:rsidR="00FC65EF" w:rsidRPr="00B87BFC" w:rsidRDefault="00B92913" w:rsidP="00B87BFC">
      <w:pPr>
        <w:jc w:val="both"/>
        <w:rPr>
          <w:color w:val="222A35" w:themeColor="text2" w:themeShade="80"/>
        </w:rPr>
      </w:pPr>
      <w:r w:rsidRPr="00030132">
        <w:rPr>
          <w:color w:val="222A35" w:themeColor="text2" w:themeShade="80"/>
        </w:rPr>
        <w:fldChar w:fldCharType="end"/>
      </w:r>
      <w:r w:rsidR="00FC65EF" w:rsidRPr="00B87BFC">
        <w:rPr>
          <w:color w:val="222A35" w:themeColor="text2" w:themeShade="80"/>
        </w:rPr>
        <w:br w:type="page"/>
      </w:r>
    </w:p>
    <w:p w14:paraId="4E1DABD5" w14:textId="6D22F77F" w:rsidR="00FC65EF" w:rsidRPr="006E521E" w:rsidRDefault="00FC65EF" w:rsidP="00E8504C">
      <w:pPr>
        <w:pStyle w:val="Heading1"/>
        <w:numPr>
          <w:ilvl w:val="0"/>
          <w:numId w:val="17"/>
        </w:numPr>
        <w:rPr>
          <w:b/>
          <w:bCs/>
          <w:sz w:val="26"/>
          <w:szCs w:val="26"/>
        </w:rPr>
      </w:pPr>
      <w:bookmarkStart w:id="0" w:name="_Toc75342182"/>
      <w:r w:rsidRPr="006E521E">
        <w:rPr>
          <w:b/>
          <w:bCs/>
          <w:sz w:val="26"/>
          <w:szCs w:val="26"/>
        </w:rPr>
        <w:lastRenderedPageBreak/>
        <w:t>INTRODUÇÃO</w:t>
      </w:r>
      <w:bookmarkEnd w:id="0"/>
    </w:p>
    <w:p w14:paraId="717DB7A6" w14:textId="7EFB4686" w:rsidR="00FC65EF" w:rsidRDefault="00FC65EF" w:rsidP="00FC65EF"/>
    <w:p w14:paraId="4FAE18DC" w14:textId="15E1C58D" w:rsidR="00FC65EF" w:rsidRDefault="00FC65EF" w:rsidP="00FC65EF">
      <w:pPr>
        <w:spacing w:line="360" w:lineRule="auto"/>
        <w:jc w:val="both"/>
      </w:pPr>
      <w:r>
        <w:t xml:space="preserve">A Portaria n.º 218/2016, de 9 de agosto, </w:t>
      </w:r>
      <w:r w:rsidR="008C11C7">
        <w:t>concretiza</w:t>
      </w:r>
      <w:r>
        <w:t xml:space="preserve"> o Regime Simplificado, previsto no artigo 5º do Decreto-Lei n.º 192/2015, de 11 de setembro. No âmbito da aplicação do SNC-AP</w:t>
      </w:r>
      <w:r w:rsidR="00D81B36">
        <w:rPr>
          <w:rStyle w:val="FootnoteReference"/>
        </w:rPr>
        <w:footnoteReference w:id="1"/>
      </w:r>
      <w:r>
        <w:t>, apresentam-se as seguintes categorias de entidades e os respetivos instrumentos contabilísticos:</w:t>
      </w:r>
    </w:p>
    <w:p w14:paraId="35A0C3AA" w14:textId="7DA2E264" w:rsidR="00FC65EF" w:rsidRDefault="00FC65EF" w:rsidP="00FC65EF">
      <w:pPr>
        <w:pStyle w:val="Caption"/>
        <w:jc w:val="center"/>
      </w:pPr>
      <w:bookmarkStart w:id="1" w:name="_Toc75783065"/>
      <w:r>
        <w:t xml:space="preserve">Quadro </w:t>
      </w:r>
      <w:fldSimple w:instr=" SEQ Quadro \* ARABIC ">
        <w:r w:rsidR="003F01D5">
          <w:rPr>
            <w:noProof/>
          </w:rPr>
          <w:t>1</w:t>
        </w:r>
      </w:fldSimple>
      <w:r>
        <w:t xml:space="preserve"> - Regimes contabilísticos e respetivos instrumentos</w:t>
      </w:r>
      <w:r w:rsidR="00AB6092">
        <w:t xml:space="preserve"> contabilísticos</w:t>
      </w:r>
      <w:bookmarkEnd w:id="1"/>
    </w:p>
    <w:tbl>
      <w:tblPr>
        <w:tblStyle w:val="TableGrid"/>
        <w:tblW w:w="9219" w:type="dxa"/>
        <w:jc w:val="center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dotted" w:sz="4" w:space="0" w:color="44546A" w:themeColor="text2"/>
          <w:insideV w:val="dotted" w:sz="4" w:space="0" w:color="44546A" w:themeColor="text2"/>
        </w:tblBorders>
        <w:tblLook w:val="04A0" w:firstRow="1" w:lastRow="0" w:firstColumn="1" w:lastColumn="0" w:noHBand="0" w:noVBand="1"/>
      </w:tblPr>
      <w:tblGrid>
        <w:gridCol w:w="3117"/>
        <w:gridCol w:w="1686"/>
        <w:gridCol w:w="1583"/>
        <w:gridCol w:w="2833"/>
      </w:tblGrid>
      <w:tr w:rsidR="00FC65EF" w14:paraId="4A21C74A" w14:textId="40FA5908" w:rsidTr="00A76CCB">
        <w:trPr>
          <w:trHeight w:val="759"/>
          <w:jc w:val="center"/>
        </w:trPr>
        <w:tc>
          <w:tcPr>
            <w:tcW w:w="3200" w:type="dxa"/>
            <w:shd w:val="clear" w:color="auto" w:fill="F2F2F2" w:themeFill="background1" w:themeFillShade="F2"/>
          </w:tcPr>
          <w:p w14:paraId="79673283" w14:textId="77777777" w:rsidR="00A76CCB" w:rsidRDefault="00A76CCB" w:rsidP="00FC65EF">
            <w:pPr>
              <w:spacing w:line="360" w:lineRule="auto"/>
              <w:jc w:val="center"/>
              <w:rPr>
                <w:b/>
                <w:bCs/>
              </w:rPr>
            </w:pPr>
          </w:p>
          <w:p w14:paraId="170AB4A6" w14:textId="7C76ECCB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  <w:r w:rsidRPr="00FC65EF">
              <w:rPr>
                <w:b/>
                <w:bCs/>
              </w:rPr>
              <w:t>Despesa global orçamental paga nas duas últimas prestações de contas</w:t>
            </w:r>
          </w:p>
        </w:tc>
        <w:tc>
          <w:tcPr>
            <w:tcW w:w="1547" w:type="dxa"/>
            <w:shd w:val="clear" w:color="auto" w:fill="F2F2F2" w:themeFill="background1" w:themeFillShade="F2"/>
          </w:tcPr>
          <w:p w14:paraId="0DCEAA5A" w14:textId="77777777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</w:p>
          <w:p w14:paraId="10C0FC51" w14:textId="50A61A27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  <w:r w:rsidRPr="00FC65EF">
              <w:rPr>
                <w:b/>
                <w:bCs/>
              </w:rPr>
              <w:t>Regime Contabilístico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14:paraId="113C2E43" w14:textId="77777777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</w:p>
          <w:p w14:paraId="569C6D81" w14:textId="26D2CA55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  <w:r w:rsidRPr="00FC65EF">
              <w:rPr>
                <w:b/>
                <w:bCs/>
              </w:rPr>
              <w:t>Subsistema Contabilístico</w:t>
            </w:r>
          </w:p>
        </w:tc>
        <w:tc>
          <w:tcPr>
            <w:tcW w:w="2881" w:type="dxa"/>
            <w:shd w:val="clear" w:color="auto" w:fill="F2F2F2" w:themeFill="background1" w:themeFillShade="F2"/>
          </w:tcPr>
          <w:p w14:paraId="0C60EA4D" w14:textId="77777777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</w:p>
          <w:p w14:paraId="66EAEF6A" w14:textId="2E852FCA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  <w:r w:rsidRPr="00FC65EF">
              <w:rPr>
                <w:b/>
                <w:bCs/>
              </w:rPr>
              <w:t>Instrumentos</w:t>
            </w:r>
          </w:p>
          <w:p w14:paraId="5F365262" w14:textId="7D09400B" w:rsidR="00FC65EF" w:rsidRPr="00FC65EF" w:rsidRDefault="00FC65EF" w:rsidP="00FC65EF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C65EF" w14:paraId="07A6FC06" w14:textId="0EEB22C4" w:rsidTr="00A76CCB">
        <w:trPr>
          <w:trHeight w:val="103"/>
          <w:jc w:val="center"/>
        </w:trPr>
        <w:tc>
          <w:tcPr>
            <w:tcW w:w="3200" w:type="dxa"/>
          </w:tcPr>
          <w:p w14:paraId="443FB422" w14:textId="77777777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0CE746BD" w14:textId="6EAED574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&lt;= € 1.000.000</w:t>
            </w:r>
          </w:p>
        </w:tc>
        <w:tc>
          <w:tcPr>
            <w:tcW w:w="1547" w:type="dxa"/>
          </w:tcPr>
          <w:p w14:paraId="03EEED2B" w14:textId="77777777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3EEB9764" w14:textId="5AEE52E4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Simplificado</w:t>
            </w:r>
          </w:p>
          <w:p w14:paraId="1F9186DF" w14:textId="6098F370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(</w:t>
            </w:r>
            <w:proofErr w:type="spellStart"/>
            <w:r w:rsidRPr="0025476B">
              <w:rPr>
                <w:sz w:val="21"/>
                <w:szCs w:val="21"/>
              </w:rPr>
              <w:t>Microentidades</w:t>
            </w:r>
            <w:proofErr w:type="spellEnd"/>
            <w:r w:rsidRPr="0025476B">
              <w:rPr>
                <w:sz w:val="21"/>
                <w:szCs w:val="21"/>
              </w:rPr>
              <w:t>)</w:t>
            </w:r>
          </w:p>
        </w:tc>
        <w:tc>
          <w:tcPr>
            <w:tcW w:w="1591" w:type="dxa"/>
          </w:tcPr>
          <w:p w14:paraId="157069A3" w14:textId="77777777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2CEFD40F" w14:textId="000D3329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Orçamental</w:t>
            </w:r>
          </w:p>
        </w:tc>
        <w:tc>
          <w:tcPr>
            <w:tcW w:w="2881" w:type="dxa"/>
          </w:tcPr>
          <w:p w14:paraId="7DE05782" w14:textId="7FCFB486" w:rsidR="00FC65EF" w:rsidRPr="0025476B" w:rsidRDefault="00FC65EF" w:rsidP="00DF613C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NCP</w:t>
            </w:r>
            <w:r w:rsidR="00087836">
              <w:rPr>
                <w:rStyle w:val="FootnoteReference"/>
                <w:sz w:val="21"/>
                <w:szCs w:val="21"/>
              </w:rPr>
              <w:footnoteReference w:id="2"/>
            </w:r>
            <w:r w:rsidRPr="0025476B">
              <w:rPr>
                <w:sz w:val="21"/>
                <w:szCs w:val="21"/>
              </w:rPr>
              <w:t xml:space="preserve"> 26 – Contabilidade e Relato Orçamental</w:t>
            </w:r>
          </w:p>
          <w:p w14:paraId="6DA17DFC" w14:textId="56B4BC76" w:rsidR="00FC65EF" w:rsidRPr="0025476B" w:rsidRDefault="00FC65EF" w:rsidP="00DF613C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Divulgação do inventário do património</w:t>
            </w:r>
          </w:p>
        </w:tc>
      </w:tr>
      <w:tr w:rsidR="00FC65EF" w14:paraId="5BD67647" w14:textId="4C8589B5" w:rsidTr="00A76CCB">
        <w:trPr>
          <w:trHeight w:val="103"/>
          <w:jc w:val="center"/>
        </w:trPr>
        <w:tc>
          <w:tcPr>
            <w:tcW w:w="3200" w:type="dxa"/>
          </w:tcPr>
          <w:p w14:paraId="41CBB970" w14:textId="77777777" w:rsidR="00FC65EF" w:rsidRPr="0025476B" w:rsidRDefault="00FC65EF" w:rsidP="00FC65EF">
            <w:pPr>
              <w:spacing w:line="360" w:lineRule="auto"/>
              <w:rPr>
                <w:sz w:val="21"/>
                <w:szCs w:val="21"/>
              </w:rPr>
            </w:pPr>
          </w:p>
          <w:p w14:paraId="68971F0B" w14:textId="77777777" w:rsidR="00FC65EF" w:rsidRPr="0025476B" w:rsidRDefault="00FC65EF" w:rsidP="00FC65EF">
            <w:pPr>
              <w:spacing w:line="360" w:lineRule="auto"/>
              <w:rPr>
                <w:sz w:val="21"/>
                <w:szCs w:val="21"/>
              </w:rPr>
            </w:pPr>
          </w:p>
          <w:p w14:paraId="6950CC57" w14:textId="77777777" w:rsidR="00FC65EF" w:rsidRPr="0025476B" w:rsidRDefault="00FC65EF" w:rsidP="000A6B6A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2C1F2AFA" w14:textId="0709B4B8" w:rsidR="00FC65EF" w:rsidRPr="00BE292C" w:rsidRDefault="00BE292C" w:rsidP="00A76CCB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BE292C">
              <w:rPr>
                <w:sz w:val="21"/>
                <w:szCs w:val="21"/>
              </w:rPr>
              <w:t>&gt;</w:t>
            </w:r>
            <w:r>
              <w:rPr>
                <w:sz w:val="21"/>
                <w:szCs w:val="21"/>
              </w:rPr>
              <w:t xml:space="preserve"> </w:t>
            </w:r>
            <w:r w:rsidR="00FC65EF" w:rsidRPr="00BE292C">
              <w:rPr>
                <w:sz w:val="21"/>
                <w:szCs w:val="21"/>
              </w:rPr>
              <w:t>€ 1.000.000 e &lt;= € 5.000.000</w:t>
            </w:r>
          </w:p>
        </w:tc>
        <w:tc>
          <w:tcPr>
            <w:tcW w:w="1547" w:type="dxa"/>
          </w:tcPr>
          <w:p w14:paraId="5AE9948B" w14:textId="77777777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38C9FCC6" w14:textId="77777777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7C8D5D39" w14:textId="77777777" w:rsidR="000A6B6A" w:rsidRDefault="000A6B6A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42C08685" w14:textId="4FFEC9B7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Simplificado (Pequenas Entidades)</w:t>
            </w:r>
          </w:p>
        </w:tc>
        <w:tc>
          <w:tcPr>
            <w:tcW w:w="1591" w:type="dxa"/>
          </w:tcPr>
          <w:p w14:paraId="00DB5CD0" w14:textId="77777777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</w:p>
          <w:p w14:paraId="4289F5EC" w14:textId="77777777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</w:p>
          <w:p w14:paraId="314B1634" w14:textId="77777777" w:rsidR="000A6B6A" w:rsidRDefault="000A6B6A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</w:p>
          <w:p w14:paraId="4CE2C161" w14:textId="563E5B8D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Financeira</w:t>
            </w:r>
          </w:p>
          <w:p w14:paraId="01326D44" w14:textId="77777777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Orçamental</w:t>
            </w:r>
          </w:p>
          <w:p w14:paraId="6EF58404" w14:textId="506BF6E0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Gestão</w:t>
            </w:r>
          </w:p>
        </w:tc>
        <w:tc>
          <w:tcPr>
            <w:tcW w:w="2881" w:type="dxa"/>
          </w:tcPr>
          <w:p w14:paraId="45AF79C0" w14:textId="2DA9D421" w:rsidR="00FC65EF" w:rsidRPr="0025476B" w:rsidRDefault="00FC65EF" w:rsidP="00DF613C">
            <w:pPr>
              <w:pStyle w:val="ListParagraph"/>
              <w:keepNext/>
              <w:numPr>
                <w:ilvl w:val="0"/>
                <w:numId w:val="10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NCP-PE</w:t>
            </w:r>
            <w:r w:rsidR="0025476B">
              <w:rPr>
                <w:sz w:val="21"/>
                <w:szCs w:val="21"/>
              </w:rPr>
              <w:t xml:space="preserve"> – Norma de Contabilidade Pública para as Pequenas Entidades </w:t>
            </w:r>
          </w:p>
          <w:p w14:paraId="5C6735F6" w14:textId="77777777" w:rsidR="00FC65EF" w:rsidRPr="0025476B" w:rsidRDefault="00FC65EF" w:rsidP="00DF613C">
            <w:pPr>
              <w:pStyle w:val="ListParagraph"/>
              <w:keepNext/>
              <w:numPr>
                <w:ilvl w:val="0"/>
                <w:numId w:val="10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NCP 26 – Contabilidade e Relato Orçamental</w:t>
            </w:r>
          </w:p>
          <w:p w14:paraId="345C187C" w14:textId="77777777" w:rsidR="00FC65EF" w:rsidRPr="0025476B" w:rsidRDefault="00FC65EF" w:rsidP="00DF613C">
            <w:pPr>
              <w:pStyle w:val="ListParagraph"/>
              <w:keepNext/>
              <w:numPr>
                <w:ilvl w:val="0"/>
                <w:numId w:val="10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NCP 27 – Contabilidade de Gestão</w:t>
            </w:r>
          </w:p>
          <w:p w14:paraId="3A00CAE2" w14:textId="59B051E0" w:rsidR="00FC65EF" w:rsidRPr="0025476B" w:rsidRDefault="00FC65EF" w:rsidP="00DF613C">
            <w:pPr>
              <w:pStyle w:val="ListParagraph"/>
              <w:keepNext/>
              <w:numPr>
                <w:ilvl w:val="0"/>
                <w:numId w:val="10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Plano de Contas Multidimensional</w:t>
            </w:r>
          </w:p>
        </w:tc>
      </w:tr>
      <w:tr w:rsidR="00FC65EF" w14:paraId="0130A303" w14:textId="77777777" w:rsidTr="00A76CCB">
        <w:trPr>
          <w:trHeight w:val="717"/>
          <w:jc w:val="center"/>
        </w:trPr>
        <w:tc>
          <w:tcPr>
            <w:tcW w:w="3200" w:type="dxa"/>
          </w:tcPr>
          <w:p w14:paraId="7F3D84FE" w14:textId="77777777" w:rsidR="00FC65EF" w:rsidRPr="0025476B" w:rsidRDefault="00FC65EF" w:rsidP="00FC65EF">
            <w:pPr>
              <w:pStyle w:val="ListParagraph"/>
              <w:spacing w:line="360" w:lineRule="auto"/>
              <w:rPr>
                <w:sz w:val="21"/>
                <w:szCs w:val="21"/>
              </w:rPr>
            </w:pPr>
          </w:p>
          <w:p w14:paraId="15C5478C" w14:textId="77777777" w:rsidR="00714945" w:rsidRDefault="00714945" w:rsidP="00FC65EF">
            <w:pPr>
              <w:pStyle w:val="ListParagraph"/>
              <w:spacing w:line="360" w:lineRule="auto"/>
              <w:rPr>
                <w:sz w:val="21"/>
                <w:szCs w:val="21"/>
              </w:rPr>
            </w:pPr>
          </w:p>
          <w:p w14:paraId="6F2B04E7" w14:textId="71C460DF" w:rsidR="00FC65EF" w:rsidRPr="0025476B" w:rsidRDefault="00FC65EF" w:rsidP="00FC65EF">
            <w:pPr>
              <w:pStyle w:val="ListParagraph"/>
              <w:spacing w:line="360" w:lineRule="auto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&gt;</w:t>
            </w:r>
            <w:r w:rsidR="00BE292C">
              <w:rPr>
                <w:sz w:val="21"/>
                <w:szCs w:val="21"/>
              </w:rPr>
              <w:t xml:space="preserve"> </w:t>
            </w:r>
            <w:r w:rsidRPr="0025476B">
              <w:rPr>
                <w:sz w:val="21"/>
                <w:szCs w:val="21"/>
              </w:rPr>
              <w:t>€ 5.000.000</w:t>
            </w:r>
          </w:p>
        </w:tc>
        <w:tc>
          <w:tcPr>
            <w:tcW w:w="1547" w:type="dxa"/>
          </w:tcPr>
          <w:p w14:paraId="183866C5" w14:textId="77777777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44F478A0" w14:textId="77777777" w:rsidR="00714945" w:rsidRDefault="00714945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60680A53" w14:textId="6D03C6F4" w:rsidR="00FC65EF" w:rsidRPr="0025476B" w:rsidRDefault="00FC65EF" w:rsidP="00FC65E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Regime Geral</w:t>
            </w:r>
          </w:p>
        </w:tc>
        <w:tc>
          <w:tcPr>
            <w:tcW w:w="1591" w:type="dxa"/>
          </w:tcPr>
          <w:p w14:paraId="4FA44BFB" w14:textId="77777777" w:rsidR="00714945" w:rsidRDefault="00714945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</w:p>
          <w:p w14:paraId="52CD0F93" w14:textId="13FF992F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Financeira</w:t>
            </w:r>
          </w:p>
          <w:p w14:paraId="1FDB6E18" w14:textId="77777777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Orçamental</w:t>
            </w:r>
          </w:p>
          <w:p w14:paraId="12610E76" w14:textId="401B5394" w:rsidR="00FC65EF" w:rsidRPr="0025476B" w:rsidRDefault="00FC65EF" w:rsidP="00FC65EF">
            <w:pPr>
              <w:keepNext/>
              <w:spacing w:line="360" w:lineRule="auto"/>
              <w:jc w:val="center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Gestão</w:t>
            </w:r>
          </w:p>
        </w:tc>
        <w:tc>
          <w:tcPr>
            <w:tcW w:w="2881" w:type="dxa"/>
          </w:tcPr>
          <w:p w14:paraId="669CC4D7" w14:textId="77777777" w:rsidR="00FC65EF" w:rsidRPr="0025476B" w:rsidRDefault="00FC65EF" w:rsidP="00DF613C">
            <w:pPr>
              <w:pStyle w:val="ListParagraph"/>
              <w:keepNext/>
              <w:numPr>
                <w:ilvl w:val="0"/>
                <w:numId w:val="13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Estrutura Concetual</w:t>
            </w:r>
          </w:p>
          <w:p w14:paraId="4DAF87FC" w14:textId="77777777" w:rsidR="00FC65EF" w:rsidRPr="0025476B" w:rsidRDefault="00FC65EF" w:rsidP="00DF613C">
            <w:pPr>
              <w:pStyle w:val="ListParagraph"/>
              <w:keepNext/>
              <w:numPr>
                <w:ilvl w:val="0"/>
                <w:numId w:val="13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Normas de Contabilidade Pública</w:t>
            </w:r>
          </w:p>
          <w:p w14:paraId="30748575" w14:textId="52405087" w:rsidR="00FC65EF" w:rsidRPr="0025476B" w:rsidRDefault="00FC65EF" w:rsidP="00DF613C">
            <w:pPr>
              <w:pStyle w:val="ListParagraph"/>
              <w:keepNext/>
              <w:numPr>
                <w:ilvl w:val="0"/>
                <w:numId w:val="13"/>
              </w:numPr>
              <w:jc w:val="both"/>
              <w:rPr>
                <w:sz w:val="21"/>
                <w:szCs w:val="21"/>
              </w:rPr>
            </w:pPr>
            <w:r w:rsidRPr="0025476B">
              <w:rPr>
                <w:sz w:val="21"/>
                <w:szCs w:val="21"/>
              </w:rPr>
              <w:t>Plano de Contas Multidimensional</w:t>
            </w:r>
          </w:p>
        </w:tc>
      </w:tr>
    </w:tbl>
    <w:p w14:paraId="1716B80B" w14:textId="5D9F355E" w:rsidR="00FC65EF" w:rsidRPr="00FC65EF" w:rsidRDefault="00FC65EF" w:rsidP="00FC65EF"/>
    <w:p w14:paraId="3FCF39E7" w14:textId="37831E8A" w:rsidR="00FC65EF" w:rsidRDefault="007B3D3F" w:rsidP="007B3D3F">
      <w:pPr>
        <w:spacing w:line="360" w:lineRule="auto"/>
        <w:jc w:val="both"/>
      </w:pPr>
      <w:r>
        <w:t>Os limites a considerar na aplicação do Regime Simplificado são anuais conforme vêm esclarecidos na FAQ 19 da Comissão de Normalização Contabilística (CNC)</w:t>
      </w:r>
      <w:r>
        <w:rPr>
          <w:rStyle w:val="FootnoteReference"/>
        </w:rPr>
        <w:footnoteReference w:id="3"/>
      </w:r>
      <w:r>
        <w:t xml:space="preserve"> e a aplicação desses limites tem de verificar-se durante dois anos consecutivos. Isto é:</w:t>
      </w:r>
    </w:p>
    <w:p w14:paraId="6D2A9020" w14:textId="635403EA" w:rsidR="007B3D3F" w:rsidRDefault="007B3D3F" w:rsidP="007B3D3F">
      <w:pPr>
        <w:pStyle w:val="ListParagraph"/>
        <w:numPr>
          <w:ilvl w:val="0"/>
          <w:numId w:val="14"/>
        </w:numPr>
        <w:spacing w:line="360" w:lineRule="auto"/>
        <w:jc w:val="both"/>
      </w:pPr>
      <w:r>
        <w:t>Pequena Entidade é aquela que durante dois anos consecutivos registou um montante global (sem exclusões) anual de despesa orçamental paga superior a 1 milhão e inferior ou igual a 5 milhões de euros;</w:t>
      </w:r>
    </w:p>
    <w:p w14:paraId="7AA60B62" w14:textId="17429096" w:rsidR="007B3D3F" w:rsidRDefault="007B3D3F" w:rsidP="00D46618">
      <w:pPr>
        <w:pStyle w:val="ListParagraph"/>
        <w:numPr>
          <w:ilvl w:val="0"/>
          <w:numId w:val="14"/>
        </w:numPr>
        <w:spacing w:after="0" w:line="360" w:lineRule="auto"/>
        <w:jc w:val="both"/>
      </w:pPr>
      <w:proofErr w:type="spellStart"/>
      <w:r>
        <w:lastRenderedPageBreak/>
        <w:t>Microentidade</w:t>
      </w:r>
      <w:proofErr w:type="spellEnd"/>
      <w:r>
        <w:t xml:space="preserve"> é aquela</w:t>
      </w:r>
      <w:r w:rsidR="00ED0685">
        <w:t xml:space="preserve"> </w:t>
      </w:r>
      <w:r>
        <w:t>que durante dois anos consecutivos registou um montante global (sem exclusões) anual de despesa orçamental paga inferior ou igual a 1 milhão de euros.</w:t>
      </w:r>
    </w:p>
    <w:p w14:paraId="4CB0EC60" w14:textId="6FB17832" w:rsidR="00BB1E59" w:rsidRDefault="00BB1E59" w:rsidP="00D46618">
      <w:pPr>
        <w:pStyle w:val="ListParagraph"/>
        <w:spacing w:after="0" w:line="360" w:lineRule="auto"/>
        <w:jc w:val="both"/>
      </w:pPr>
    </w:p>
    <w:p w14:paraId="3B01B906" w14:textId="5B2A624B" w:rsidR="00D46618" w:rsidRDefault="00D46618" w:rsidP="00E511CA">
      <w:pPr>
        <w:keepNext/>
        <w:spacing w:line="360" w:lineRule="auto"/>
        <w:jc w:val="both"/>
      </w:pPr>
      <w:r>
        <w:t xml:space="preserve">Deste modo, é assim efetuada uma distinção entre as entidades que a aplicam o regime geral e as entidades que aplicam o regime simplificado. Sublinha-se que as entidades com as características descritas acima que se enquadram nas </w:t>
      </w:r>
      <w:proofErr w:type="spellStart"/>
      <w:r>
        <w:t>Microendidades</w:t>
      </w:r>
      <w:proofErr w:type="spellEnd"/>
      <w:r>
        <w:t xml:space="preserve"> são regidas pela NCP 26 – Contabilidade e Relato Orçamental</w:t>
      </w:r>
      <w:r w:rsidR="00087836">
        <w:t xml:space="preserve">, tendo também de efetuar a </w:t>
      </w:r>
      <w:r>
        <w:t xml:space="preserve">Divulgação do Inventário e Património. </w:t>
      </w:r>
      <w:r w:rsidR="00087836">
        <w:t xml:space="preserve">A Norma </w:t>
      </w:r>
      <w:r w:rsidR="00087836" w:rsidRPr="00D46618">
        <w:t xml:space="preserve">NCP-PE </w:t>
      </w:r>
      <w:r w:rsidR="00087836">
        <w:t>(</w:t>
      </w:r>
      <w:r w:rsidR="00087836" w:rsidRPr="00D46618">
        <w:t>Norma de Contabilidade Pública para as Pequenas Entidades</w:t>
      </w:r>
      <w:r w:rsidR="00087836">
        <w:t>) publicada em anexo à Portaria n.º 218/2016, de 9 de agosto</w:t>
      </w:r>
      <w:r w:rsidR="005C33F7">
        <w:t>, tal como o titulo indica</w:t>
      </w:r>
      <w:r w:rsidR="00087836">
        <w:t xml:space="preserve"> é uma norma </w:t>
      </w:r>
      <w:r w:rsidR="005C33F7">
        <w:t>orientadora</w:t>
      </w:r>
      <w:r w:rsidR="00087836">
        <w:t xml:space="preserve"> para as Pequenas Entidades,</w:t>
      </w:r>
      <w:r>
        <w:t xml:space="preserve"> </w:t>
      </w:r>
      <w:r w:rsidR="00087836">
        <w:t xml:space="preserve">que </w:t>
      </w:r>
      <w:r w:rsidR="007150CA">
        <w:t xml:space="preserve">se regem </w:t>
      </w:r>
      <w:r w:rsidR="00087836">
        <w:t>também</w:t>
      </w:r>
      <w:r>
        <w:t xml:space="preserve"> </w:t>
      </w:r>
      <w:r w:rsidR="007150CA">
        <w:t>pela</w:t>
      </w:r>
      <w:r>
        <w:t xml:space="preserve"> NCP 26 – Contabilidade e Relato Orçamental, </w:t>
      </w:r>
      <w:r w:rsidR="007150CA">
        <w:t>pel</w:t>
      </w:r>
      <w:r>
        <w:t xml:space="preserve">a </w:t>
      </w:r>
      <w:r w:rsidRPr="00D46618">
        <w:t xml:space="preserve">NCP 27 – Contabilidade de Gestão e </w:t>
      </w:r>
      <w:r w:rsidR="007150CA">
        <w:t>pel</w:t>
      </w:r>
      <w:r w:rsidRPr="00D46618">
        <w:t>o Plano de Contas Multidimensional.</w:t>
      </w:r>
    </w:p>
    <w:p w14:paraId="7D79209C" w14:textId="77777777" w:rsidR="00E511CA" w:rsidRPr="00D46618" w:rsidRDefault="00E511CA" w:rsidP="00E23D3D">
      <w:pPr>
        <w:keepNext/>
        <w:spacing w:after="0"/>
        <w:jc w:val="both"/>
        <w:rPr>
          <w:sz w:val="21"/>
          <w:szCs w:val="21"/>
        </w:rPr>
      </w:pPr>
    </w:p>
    <w:p w14:paraId="693F2882" w14:textId="7BC76266" w:rsidR="002B0DE6" w:rsidRDefault="000A6B6A" w:rsidP="002B0DE6">
      <w:pPr>
        <w:spacing w:after="0" w:line="360" w:lineRule="auto"/>
        <w:jc w:val="both"/>
      </w:pPr>
      <w:r>
        <w:t>Perante uma situação em que se verifique uma</w:t>
      </w:r>
      <w:r w:rsidR="00702F74" w:rsidRPr="000A6B6A">
        <w:t xml:space="preserve"> transição</w:t>
      </w:r>
      <w:r>
        <w:t xml:space="preserve"> de </w:t>
      </w:r>
      <w:r w:rsidR="00702F74" w:rsidRPr="000A6B6A">
        <w:t>entidades que apenas num dos anos tenham observado estes limites</w:t>
      </w:r>
      <w:r w:rsidR="00473C00">
        <w:rPr>
          <w:rStyle w:val="FootnoteReference"/>
        </w:rPr>
        <w:footnoteReference w:id="4"/>
      </w:r>
      <w:r w:rsidR="00702F74" w:rsidRPr="000A6B6A">
        <w:t>. Sem prejuízo de as entidades poderem sempre optar por um normativo mais exigente do que aquele em que eventualmente se</w:t>
      </w:r>
      <w:r w:rsidR="00702F74" w:rsidRPr="00702F74">
        <w:t xml:space="preserve"> enquadrem, é entendimento da CNC que, para efeitos de transição, quando nos últimos dois anos, um ano estiver acima do limiar e no outro abaixo, a entidade poderá optar pelo regime que lhe parecer mais adequado.</w:t>
      </w:r>
      <w:r w:rsidR="00702F74" w:rsidRPr="00702F74">
        <w:br/>
      </w:r>
      <w:r w:rsidR="00702F74" w:rsidRPr="00702F74">
        <w:br/>
      </w:r>
      <w:r w:rsidR="00BB1E59">
        <w:t>De</w:t>
      </w:r>
      <w:r w:rsidR="00702F74" w:rsidRPr="00702F74">
        <w:t xml:space="preserve"> forma a evitar </w:t>
      </w:r>
      <w:r w:rsidR="00BB1E59">
        <w:t>alterações constantes</w:t>
      </w:r>
      <w:r w:rsidR="00702F74" w:rsidRPr="00702F74">
        <w:t xml:space="preserve"> de regime nos casos fronteira (por exemplo, uma entidade cuja despesa orçamental paga esteja sempre no limiar superior dos limites (1 milhão ou 5 milhões), a entidade deve optar pelo regime que mais estabilidade dá ao relato tendo em conta as previsões dos orçamentos dos anos seguintes.</w:t>
      </w:r>
    </w:p>
    <w:p w14:paraId="322FAAF2" w14:textId="77777777" w:rsidR="002B0DE6" w:rsidRPr="00FC65EF" w:rsidRDefault="002B0DE6" w:rsidP="002B0DE6">
      <w:pPr>
        <w:spacing w:after="0" w:line="360" w:lineRule="auto"/>
        <w:jc w:val="both"/>
      </w:pPr>
    </w:p>
    <w:p w14:paraId="0090550C" w14:textId="77777777" w:rsidR="002B0DE6" w:rsidRDefault="002B0DE6" w:rsidP="002B0DE6">
      <w:pPr>
        <w:spacing w:after="0" w:line="360" w:lineRule="auto"/>
        <w:jc w:val="both"/>
      </w:pPr>
      <w:r>
        <w:t xml:space="preserve">As entidades que reúnam as condições de utilização dos instrumentos contabilísticos do regime simplificado, quer como pequenas entidades quer como </w:t>
      </w:r>
      <w:proofErr w:type="spellStart"/>
      <w:r>
        <w:t>microentidades</w:t>
      </w:r>
      <w:proofErr w:type="spellEnd"/>
      <w:r>
        <w:t xml:space="preserve">, podem optar por utilizar o regime geral do SNC-AP. </w:t>
      </w:r>
    </w:p>
    <w:p w14:paraId="26B05D41" w14:textId="77777777" w:rsidR="002B0DE6" w:rsidRDefault="002B0DE6" w:rsidP="002B0DE6">
      <w:pPr>
        <w:spacing w:after="0" w:line="360" w:lineRule="auto"/>
        <w:jc w:val="both"/>
      </w:pPr>
    </w:p>
    <w:p w14:paraId="0313AFC3" w14:textId="196083E3" w:rsidR="002B0DE6" w:rsidRDefault="002B0DE6" w:rsidP="002B0DE6">
      <w:pPr>
        <w:spacing w:after="0" w:line="360" w:lineRule="auto"/>
        <w:jc w:val="both"/>
      </w:pPr>
      <w:r>
        <w:t xml:space="preserve">No entanto, mesmo preenchendo os requisitos para aplicar o regime simplificado, há circunstâncias que podem levar a que estas entidades possam ter de aplicar o regime geral, ou que uma </w:t>
      </w:r>
      <w:proofErr w:type="spellStart"/>
      <w:r>
        <w:t>microentidade</w:t>
      </w:r>
      <w:proofErr w:type="spellEnd"/>
      <w:r>
        <w:t xml:space="preserve"> tenha de aplicar o regime simplificado-pequenas entidades, como as que a seguir se descrevem. </w:t>
      </w:r>
    </w:p>
    <w:p w14:paraId="28B66118" w14:textId="77777777" w:rsidR="002B0DE6" w:rsidRDefault="002B0DE6" w:rsidP="00E14940">
      <w:pPr>
        <w:spacing w:after="0" w:line="360" w:lineRule="auto"/>
        <w:jc w:val="both"/>
      </w:pPr>
    </w:p>
    <w:p w14:paraId="35C6BAD1" w14:textId="645A85BC" w:rsidR="002B0DE6" w:rsidRDefault="00396969" w:rsidP="00E14940">
      <w:pPr>
        <w:spacing w:after="0" w:line="360" w:lineRule="auto"/>
        <w:jc w:val="both"/>
      </w:pPr>
      <w:r>
        <w:t xml:space="preserve">Nos termos do n.º 2 do artigo 2.º da Portaria n.º 218/2016, de 9 de agosto, com </w:t>
      </w:r>
      <w:r w:rsidR="002B0DE6">
        <w:t xml:space="preserve">base numa análise de risco orçamental, o membro do governo responsável pela área das finanças pode determinar a aplicação do regime geral do SNC-AP a uma pequena entidade ou uma </w:t>
      </w:r>
      <w:proofErr w:type="spellStart"/>
      <w:r w:rsidR="002B0DE6">
        <w:t>microentidade</w:t>
      </w:r>
      <w:proofErr w:type="spellEnd"/>
      <w:r w:rsidR="002B0DE6">
        <w:t xml:space="preserve">, ou do regime simplificado para as pequenas entidades a uma </w:t>
      </w:r>
      <w:proofErr w:type="spellStart"/>
      <w:r w:rsidR="002B0DE6">
        <w:t>microentidade</w:t>
      </w:r>
      <w:proofErr w:type="spellEnd"/>
      <w:r w:rsidR="002B0DE6">
        <w:t>, i</w:t>
      </w:r>
      <w:r>
        <w:t>ncluindo</w:t>
      </w:r>
      <w:r w:rsidR="002B0DE6">
        <w:t xml:space="preserve"> a data a partir da qual </w:t>
      </w:r>
      <w:r>
        <w:t>o</w:t>
      </w:r>
      <w:r w:rsidR="002B0DE6">
        <w:t xml:space="preserve"> regime geral ou</w:t>
      </w:r>
      <w:r>
        <w:t xml:space="preserve"> o regime</w:t>
      </w:r>
      <w:r w:rsidR="002B0DE6">
        <w:t xml:space="preserve"> simplificado deva</w:t>
      </w:r>
      <w:r>
        <w:t>m</w:t>
      </w:r>
      <w:r w:rsidR="002B0DE6">
        <w:t xml:space="preserve"> ser aplicado. </w:t>
      </w:r>
    </w:p>
    <w:p w14:paraId="57FFEA5C" w14:textId="77777777" w:rsidR="002B0DE6" w:rsidRDefault="002B0DE6" w:rsidP="00E14940">
      <w:pPr>
        <w:spacing w:after="0" w:line="360" w:lineRule="auto"/>
        <w:jc w:val="both"/>
      </w:pPr>
    </w:p>
    <w:p w14:paraId="272B0582" w14:textId="77B78F43" w:rsidR="00FC65EF" w:rsidRPr="00FC65EF" w:rsidRDefault="002B0DE6" w:rsidP="00E14940">
      <w:pPr>
        <w:spacing w:after="0" w:line="360" w:lineRule="auto"/>
        <w:jc w:val="both"/>
      </w:pPr>
      <w:r>
        <w:t xml:space="preserve">No caso das pequenas entidades ou </w:t>
      </w:r>
      <w:proofErr w:type="spellStart"/>
      <w:r>
        <w:t>microentidades</w:t>
      </w:r>
      <w:proofErr w:type="spellEnd"/>
      <w:r>
        <w:t xml:space="preserve"> pertencentes ao subsetor local, o previsto no parágrafo anterior passa a ser da competência conjunta dos membros do Governo responsáveis pelas áreas das finanças e das autarquias locais.</w:t>
      </w:r>
    </w:p>
    <w:p w14:paraId="0015352A" w14:textId="48A53518" w:rsidR="00FC65EF" w:rsidRPr="00FC65EF" w:rsidRDefault="00FC65EF" w:rsidP="00FC65EF"/>
    <w:p w14:paraId="04F2B357" w14:textId="562E34FC" w:rsidR="00FC65EF" w:rsidRDefault="00F83D51" w:rsidP="00F83D51">
      <w:pPr>
        <w:spacing w:line="360" w:lineRule="auto"/>
        <w:jc w:val="both"/>
      </w:pPr>
      <w:r>
        <w:t xml:space="preserve">No que respeita à consolidação de contas, o artigo 7º, refere que quando existir um grupo público que integre pequenas entidades ou </w:t>
      </w:r>
      <w:proofErr w:type="spellStart"/>
      <w:r>
        <w:t>microentidades</w:t>
      </w:r>
      <w:proofErr w:type="spellEnd"/>
      <w:r>
        <w:t xml:space="preserve"> que controlem outras entidades deve ser observado o seguinte quanto à consolidação:</w:t>
      </w:r>
    </w:p>
    <w:p w14:paraId="00F92D4A" w14:textId="77777777" w:rsidR="00F83D51" w:rsidRPr="00F83D51" w:rsidRDefault="00F83D51" w:rsidP="00F83D51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83D51">
        <w:rPr>
          <w:rFonts w:asciiTheme="minorHAnsi" w:eastAsiaTheme="minorHAnsi" w:hAnsiTheme="minorHAnsi" w:cstheme="minorBidi"/>
          <w:sz w:val="22"/>
          <w:szCs w:val="22"/>
          <w:lang w:eastAsia="en-US"/>
        </w:rPr>
        <w:t>No caso de se tratar de uma pequena entidade, esta terá obrigatoriamente de adotar o regime geral do SNC-AP se for este o regime aplicado por alguma das suas entidades controladas;</w:t>
      </w:r>
    </w:p>
    <w:p w14:paraId="724B19B1" w14:textId="05268A56" w:rsidR="00F83D51" w:rsidRPr="00F83D51" w:rsidRDefault="00F83D51" w:rsidP="00F83D51">
      <w:pPr>
        <w:pStyle w:val="NormalWeb"/>
        <w:numPr>
          <w:ilvl w:val="0"/>
          <w:numId w:val="16"/>
        </w:num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83D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No caso de se tratar de uma </w:t>
      </w:r>
      <w:proofErr w:type="spellStart"/>
      <w:r w:rsidRPr="00F83D51">
        <w:rPr>
          <w:rFonts w:asciiTheme="minorHAnsi" w:eastAsiaTheme="minorHAnsi" w:hAnsiTheme="minorHAnsi" w:cstheme="minorBidi"/>
          <w:sz w:val="22"/>
          <w:szCs w:val="22"/>
          <w:lang w:eastAsia="en-US"/>
        </w:rPr>
        <w:t>microentidade</w:t>
      </w:r>
      <w:proofErr w:type="spellEnd"/>
      <w:r w:rsidRPr="00F83D51">
        <w:rPr>
          <w:rFonts w:asciiTheme="minorHAnsi" w:eastAsiaTheme="minorHAnsi" w:hAnsiTheme="minorHAnsi" w:cstheme="minorBidi"/>
          <w:sz w:val="22"/>
          <w:szCs w:val="22"/>
          <w:lang w:eastAsia="en-US"/>
        </w:rPr>
        <w:t>, esta terá obrigatoriamente de adotar ou o regime geral do SNC-AP ou o regime simplificado para as pequenas entidades consoante sejam estes os regimes aplicados por alguma das suas entidades controladas.</w:t>
      </w:r>
    </w:p>
    <w:p w14:paraId="1BF2CDC2" w14:textId="77777777" w:rsidR="00D824CE" w:rsidRPr="00D824CE" w:rsidRDefault="00D824CE" w:rsidP="00D824CE">
      <w:pPr>
        <w:pStyle w:val="NormalWeb"/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As entidades controladas integrantes de um grupo público, quer sejam pequenas entidades ou quer sejam </w:t>
      </w:r>
      <w:proofErr w:type="spellStart"/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>microentidades</w:t>
      </w:r>
      <w:proofErr w:type="spellEnd"/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>, devem aplicar as políticas contabilísticas adotadas pelas entidades que as controlam, e seguir as orientações delas emanadas para assegurar a consistência e uniformidade das políticas contabilísticas do grupo público.</w:t>
      </w:r>
    </w:p>
    <w:p w14:paraId="4CCC5E59" w14:textId="3B4756BC" w:rsidR="00D824CE" w:rsidRPr="00D824CE" w:rsidRDefault="00D824CE" w:rsidP="00D824CE">
      <w:pPr>
        <w:pStyle w:val="NormalWeb"/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As </w:t>
      </w:r>
      <w:proofErr w:type="spellStart"/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>microentidades</w:t>
      </w:r>
      <w:proofErr w:type="spellEnd"/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controladas por outras entidades integrantes de um grupo público, não podem exercer o direito de opção pelo regime simplificado para as </w:t>
      </w:r>
      <w:proofErr w:type="spellStart"/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>microentidades</w:t>
      </w:r>
      <w:proofErr w:type="spellEnd"/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previsto no artigo 6.º, devendo adotar no mínimo o regime simplificado para as pequenas entidades previsto no artigo 5.º da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>Portaria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n.º</w:t>
      </w:r>
      <w:r w:rsidR="00E850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218/2016, de 9 de agosto</w:t>
      </w:r>
      <w:r w:rsidRPr="00D824C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45B39BFC" w14:textId="77777777" w:rsidR="00F83D51" w:rsidRPr="00FC65EF" w:rsidRDefault="00F83D51" w:rsidP="00F83D51">
      <w:pPr>
        <w:spacing w:line="360" w:lineRule="auto"/>
        <w:jc w:val="both"/>
      </w:pPr>
    </w:p>
    <w:p w14:paraId="60DD05F1" w14:textId="1A39CCE3" w:rsidR="00FC65EF" w:rsidRPr="00FC65EF" w:rsidRDefault="00FC65EF" w:rsidP="00FC65EF"/>
    <w:p w14:paraId="3675EE3E" w14:textId="654188D4" w:rsidR="00FC65EF" w:rsidRPr="00FC65EF" w:rsidRDefault="00FC65EF" w:rsidP="00FC65EF"/>
    <w:p w14:paraId="76746499" w14:textId="6A4441B5" w:rsidR="00FC65EF" w:rsidRPr="00FC65EF" w:rsidRDefault="00FC65EF" w:rsidP="00FC65EF"/>
    <w:p w14:paraId="6D32FD58" w14:textId="15A82A7E" w:rsidR="00E8504C" w:rsidRPr="006E521E" w:rsidRDefault="00E8504C" w:rsidP="00E8504C">
      <w:pPr>
        <w:pStyle w:val="Heading1"/>
        <w:numPr>
          <w:ilvl w:val="0"/>
          <w:numId w:val="17"/>
        </w:numPr>
        <w:rPr>
          <w:b/>
          <w:bCs/>
          <w:sz w:val="26"/>
          <w:szCs w:val="26"/>
        </w:rPr>
      </w:pPr>
      <w:bookmarkStart w:id="2" w:name="_Toc75342183"/>
      <w:r w:rsidRPr="006E521E">
        <w:rPr>
          <w:b/>
          <w:bCs/>
          <w:sz w:val="26"/>
          <w:szCs w:val="26"/>
        </w:rPr>
        <w:t>NORMA DE CONTABILIDADE PÚBLICA – PEQUENAS ENTIDADES (NCP-PE)</w:t>
      </w:r>
      <w:bookmarkEnd w:id="2"/>
    </w:p>
    <w:p w14:paraId="6F72E4E2" w14:textId="25C3AC63" w:rsidR="00E8504C" w:rsidRDefault="00E8504C" w:rsidP="00E8504C"/>
    <w:p w14:paraId="5A793601" w14:textId="3A68CC9A" w:rsidR="008F7C23" w:rsidRPr="00E8504C" w:rsidRDefault="00E8504C" w:rsidP="00E8504C">
      <w:pPr>
        <w:spacing w:line="360" w:lineRule="auto"/>
        <w:jc w:val="both"/>
      </w:pPr>
      <w:r>
        <w:t xml:space="preserve">A Norma de Contabilidade Pública para Pequenas Entidades (NCP-PE) </w:t>
      </w:r>
      <w:r w:rsidR="006E521E">
        <w:t xml:space="preserve">foi publicada em anexo à Portaria n.º 218/2016, de 9 de agosto, </w:t>
      </w:r>
      <w:r w:rsidR="008F7C23">
        <w:t>tem como objetivo estabelecer os requisitos de reconhecimento, mensuração e relato financeiro das transações e outros acontecimentos, com as adaptações inerentes às entidades sujeitas a este regime.</w:t>
      </w:r>
    </w:p>
    <w:p w14:paraId="2D443DA6" w14:textId="6B077A83" w:rsidR="008F7C23" w:rsidRDefault="008F7C23" w:rsidP="008F7C23">
      <w:pPr>
        <w:spacing w:line="360" w:lineRule="auto"/>
        <w:jc w:val="both"/>
      </w:pPr>
      <w:r>
        <w:t xml:space="preserve">O artigo 9.º da Portaria n.º 218/2016, de 9 de agosto prevê a integração de lacunas decorrentes da não previsão na NCP-PE de determinada transação, evento, atividade ou circunstância, deve respeitar-se a seguinte hierarquia: </w:t>
      </w:r>
    </w:p>
    <w:p w14:paraId="7F75DA51" w14:textId="67455B2C" w:rsidR="008F7C23" w:rsidRDefault="008F7C23" w:rsidP="008F7C23">
      <w:pPr>
        <w:pStyle w:val="ListParagraph"/>
        <w:numPr>
          <w:ilvl w:val="0"/>
          <w:numId w:val="19"/>
        </w:numPr>
        <w:spacing w:line="360" w:lineRule="auto"/>
        <w:jc w:val="both"/>
      </w:pPr>
      <w:r>
        <w:t xml:space="preserve">As NCP do regime geral do SNC-AP; </w:t>
      </w:r>
    </w:p>
    <w:p w14:paraId="5799ADF8" w14:textId="18F3DA8B" w:rsidR="00FC65EF" w:rsidRDefault="008F7C23" w:rsidP="000F0832">
      <w:pPr>
        <w:pStyle w:val="ListParagraph"/>
        <w:numPr>
          <w:ilvl w:val="0"/>
          <w:numId w:val="19"/>
        </w:numPr>
        <w:spacing w:after="0" w:line="360" w:lineRule="auto"/>
        <w:jc w:val="both"/>
      </w:pPr>
      <w:r>
        <w:t>As Normas de Contabilidade e Relato Financeiro que integram o SNC.</w:t>
      </w:r>
    </w:p>
    <w:p w14:paraId="5E13D026" w14:textId="21770E40" w:rsidR="008F7C23" w:rsidRDefault="008F7C23" w:rsidP="000F0832">
      <w:pPr>
        <w:spacing w:after="0" w:line="360" w:lineRule="auto"/>
        <w:jc w:val="both"/>
      </w:pPr>
    </w:p>
    <w:p w14:paraId="6F6A68AA" w14:textId="49F390DF" w:rsidR="008F7C23" w:rsidRDefault="008F7C23" w:rsidP="000F0832">
      <w:pPr>
        <w:spacing w:after="0" w:line="360" w:lineRule="auto"/>
        <w:jc w:val="both"/>
      </w:pPr>
      <w:r>
        <w:t>No Apêndice</w:t>
      </w:r>
      <w:r w:rsidR="005A0733">
        <w:t xml:space="preserve"> da NCP-PE</w:t>
      </w:r>
      <w:r>
        <w:t xml:space="preserve"> encontram-se os modelos de demonstrações</w:t>
      </w:r>
      <w:r w:rsidR="006B67D0">
        <w:t xml:space="preserve"> financeiras</w:t>
      </w:r>
      <w:r>
        <w:t>: Balanço; Demonstração de Resultados por Natureza; Demonstração dos Fluxos de Caixa e Demonstração das Alterações no Património Líquido.</w:t>
      </w:r>
    </w:p>
    <w:p w14:paraId="5084DB5F" w14:textId="13E09EC3" w:rsidR="008F7C23" w:rsidRDefault="008F7C23" w:rsidP="008F7C23">
      <w:pPr>
        <w:spacing w:line="360" w:lineRule="auto"/>
        <w:jc w:val="both"/>
      </w:pPr>
    </w:p>
    <w:p w14:paraId="2B374AC0" w14:textId="75177300" w:rsidR="008F7C23" w:rsidRPr="005C2078" w:rsidRDefault="000F0832" w:rsidP="005C2078">
      <w:pPr>
        <w:pStyle w:val="Heading1"/>
        <w:numPr>
          <w:ilvl w:val="0"/>
          <w:numId w:val="17"/>
        </w:numPr>
        <w:rPr>
          <w:b/>
          <w:bCs/>
          <w:sz w:val="26"/>
          <w:szCs w:val="26"/>
        </w:rPr>
      </w:pPr>
      <w:bookmarkStart w:id="3" w:name="_Toc75342184"/>
      <w:r w:rsidRPr="005C2078">
        <w:rPr>
          <w:b/>
          <w:bCs/>
          <w:sz w:val="26"/>
          <w:szCs w:val="26"/>
        </w:rPr>
        <w:t>PRESTAÇÃO DE CONTAS</w:t>
      </w:r>
      <w:bookmarkEnd w:id="3"/>
    </w:p>
    <w:p w14:paraId="2C74A1B6" w14:textId="7B12CCE1" w:rsidR="0017305C" w:rsidRDefault="0017305C" w:rsidP="0017305C">
      <w:pPr>
        <w:pStyle w:val="ListParagraph"/>
        <w:spacing w:line="360" w:lineRule="auto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</w:p>
    <w:p w14:paraId="0073E655" w14:textId="70E8D07C" w:rsidR="00651F01" w:rsidRPr="00AD5FC5" w:rsidRDefault="0017305C" w:rsidP="00AD5FC5">
      <w:pPr>
        <w:pStyle w:val="ListParagraph"/>
        <w:spacing w:after="0" w:line="360" w:lineRule="auto"/>
        <w:ind w:left="0"/>
        <w:jc w:val="both"/>
      </w:pPr>
      <w:r w:rsidRPr="00AD5FC5">
        <w:t>A Instrução n.º 1/2019 do Tribunal de Contas</w:t>
      </w:r>
      <w:r w:rsidRPr="00AD5FC5">
        <w:rPr>
          <w:rStyle w:val="FootnoteReference"/>
        </w:rPr>
        <w:footnoteReference w:id="5"/>
      </w:r>
      <w:r w:rsidRPr="00AD5FC5">
        <w:t xml:space="preserve"> in</w:t>
      </w:r>
      <w:r w:rsidR="00AD5FC5">
        <w:t>clui a informação</w:t>
      </w:r>
      <w:r w:rsidRPr="00AD5FC5">
        <w:t xml:space="preserve"> sobre a prestação de contas das entidades sujeitas à jurisdição e aos poderes de controlo do Tribunal de Contas. </w:t>
      </w:r>
    </w:p>
    <w:p w14:paraId="0BFFB94A" w14:textId="77777777" w:rsidR="00AD5FC5" w:rsidRDefault="00AD5FC5" w:rsidP="00AD5FC5">
      <w:pPr>
        <w:pStyle w:val="ListParagraph"/>
        <w:spacing w:after="0" w:line="360" w:lineRule="auto"/>
        <w:ind w:left="0"/>
        <w:jc w:val="both"/>
      </w:pPr>
    </w:p>
    <w:p w14:paraId="011E8EEF" w14:textId="6A9AE59A" w:rsidR="00AD5FC5" w:rsidRPr="00AD5FC5" w:rsidRDefault="00AD5FC5" w:rsidP="00AD5FC5">
      <w:pPr>
        <w:pStyle w:val="ListParagraph"/>
        <w:spacing w:after="0" w:line="360" w:lineRule="auto"/>
        <w:ind w:left="0"/>
        <w:jc w:val="both"/>
      </w:pPr>
      <w:r>
        <w:t>Os</w:t>
      </w:r>
      <w:r w:rsidRPr="00AD5FC5">
        <w:t xml:space="preserve"> </w:t>
      </w:r>
      <w:r>
        <w:t xml:space="preserve">quadros 2 e 3 apresentam a informação </w:t>
      </w:r>
      <w:r w:rsidR="000C6D06">
        <w:t>contemplada</w:t>
      </w:r>
      <w:r>
        <w:t xml:space="preserve"> nos Anexos A. 2 (Pequenas Entidades) e A. 3 (</w:t>
      </w:r>
      <w:proofErr w:type="spellStart"/>
      <w:r>
        <w:t>Microentidades</w:t>
      </w:r>
      <w:proofErr w:type="spellEnd"/>
      <w:r>
        <w:t>) para remeter ao Tribunal de Contas relativ</w:t>
      </w:r>
      <w:r w:rsidR="00786909">
        <w:t>a</w:t>
      </w:r>
      <w:r>
        <w:t xml:space="preserve"> às Demonstrações Financeiras e </w:t>
      </w:r>
      <w:r w:rsidR="000C6D06">
        <w:t>Orçamentais, sendo</w:t>
      </w:r>
      <w:r w:rsidR="00EB2439">
        <w:t xml:space="preserve"> que as entidades abrangidas por estes regimes devem ainda remeter os documentos genéricos e específicos con</w:t>
      </w:r>
      <w:r w:rsidR="000C6D06">
        <w:t>stantes</w:t>
      </w:r>
      <w:r w:rsidR="00EB2439">
        <w:t xml:space="preserve"> </w:t>
      </w:r>
      <w:r w:rsidR="000C6D06">
        <w:t>d</w:t>
      </w:r>
      <w:r w:rsidR="00EB2439">
        <w:t>a referida Instrução.</w:t>
      </w:r>
    </w:p>
    <w:p w14:paraId="2E22941C" w14:textId="67DF53E1" w:rsidR="0017305C" w:rsidRPr="00651F01" w:rsidRDefault="00651F01" w:rsidP="00651F01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  <w:br w:type="page"/>
      </w:r>
    </w:p>
    <w:p w14:paraId="45299581" w14:textId="0564E153" w:rsidR="000F0832" w:rsidRDefault="0017305C" w:rsidP="0017305C">
      <w:pPr>
        <w:pStyle w:val="Subtitle"/>
        <w:numPr>
          <w:ilvl w:val="0"/>
          <w:numId w:val="21"/>
        </w:numPr>
        <w:rPr>
          <w:rFonts w:eastAsiaTheme="majorEastAsia"/>
        </w:rPr>
      </w:pPr>
      <w:r>
        <w:rPr>
          <w:rFonts w:eastAsiaTheme="majorEastAsia"/>
        </w:rPr>
        <w:lastRenderedPageBreak/>
        <w:t>PEQUENAS ENTIDADES</w:t>
      </w:r>
    </w:p>
    <w:p w14:paraId="0A24E86D" w14:textId="77777777" w:rsidR="00596240" w:rsidRPr="00596240" w:rsidRDefault="00596240" w:rsidP="00596240"/>
    <w:p w14:paraId="0EF672DE" w14:textId="44704DEA" w:rsidR="0017305C" w:rsidRDefault="00596240" w:rsidP="00D247F4">
      <w:pPr>
        <w:pStyle w:val="Caption"/>
        <w:ind w:left="720"/>
      </w:pPr>
      <w:bookmarkStart w:id="4" w:name="_Toc75783066"/>
      <w:r>
        <w:t xml:space="preserve">Quadro </w:t>
      </w:r>
      <w:fldSimple w:instr=" SEQ Quadro \* ARABIC ">
        <w:r w:rsidR="003F01D5">
          <w:rPr>
            <w:noProof/>
          </w:rPr>
          <w:t>2</w:t>
        </w:r>
      </w:fldSimple>
      <w:r>
        <w:t xml:space="preserve"> - Demonstrações Financeiras e Orçamentais das Pequenas Entidades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3679"/>
      </w:tblGrid>
      <w:tr w:rsidR="00800FAF" w14:paraId="7BFD9F3A" w14:textId="77777777" w:rsidTr="00800FAF">
        <w:tc>
          <w:tcPr>
            <w:tcW w:w="4815" w:type="dxa"/>
            <w:shd w:val="clear" w:color="auto" w:fill="4472C4" w:themeFill="accent1"/>
          </w:tcPr>
          <w:p w14:paraId="4F4CA5FD" w14:textId="7C868DC1" w:rsidR="00800FAF" w:rsidRPr="00800FAF" w:rsidRDefault="0017305C" w:rsidP="00800FAF">
            <w:pPr>
              <w:jc w:val="center"/>
              <w:rPr>
                <w:b/>
                <w:bCs/>
                <w:color w:val="FFFFFF" w:themeColor="background1"/>
              </w:rPr>
            </w:pPr>
            <w:r w:rsidRPr="00800FAF">
              <w:rPr>
                <w:b/>
                <w:bCs/>
                <w:color w:val="FFFFFF" w:themeColor="background1"/>
              </w:rPr>
              <w:br w:type="page"/>
            </w:r>
            <w:r w:rsidR="00800FAF" w:rsidRPr="00800FAF">
              <w:rPr>
                <w:b/>
                <w:bCs/>
                <w:color w:val="FFFFFF" w:themeColor="background1"/>
              </w:rPr>
              <w:t>Demonstrações Financeiras e Orçamentais</w:t>
            </w:r>
          </w:p>
        </w:tc>
        <w:tc>
          <w:tcPr>
            <w:tcW w:w="3679" w:type="dxa"/>
            <w:shd w:val="clear" w:color="auto" w:fill="4472C4" w:themeFill="accent1"/>
          </w:tcPr>
          <w:p w14:paraId="4A88C515" w14:textId="38B352B6" w:rsidR="00800FAF" w:rsidRPr="00800FAF" w:rsidRDefault="00800FAF" w:rsidP="00800FAF">
            <w:pPr>
              <w:jc w:val="center"/>
              <w:rPr>
                <w:b/>
                <w:bCs/>
                <w:color w:val="FFFFFF" w:themeColor="background1"/>
              </w:rPr>
            </w:pPr>
            <w:r w:rsidRPr="00800FAF">
              <w:rPr>
                <w:b/>
                <w:bCs/>
                <w:color w:val="FFFFFF" w:themeColor="background1"/>
              </w:rPr>
              <w:t>Regime Simplificado - PE</w:t>
            </w:r>
          </w:p>
        </w:tc>
      </w:tr>
      <w:tr w:rsidR="00800FAF" w14:paraId="17A365C3" w14:textId="77777777" w:rsidTr="00800FAF">
        <w:tc>
          <w:tcPr>
            <w:tcW w:w="4815" w:type="dxa"/>
          </w:tcPr>
          <w:p w14:paraId="4BD263CA" w14:textId="6D6D4F5F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Demonstrações financeiras (individuais):</w:t>
            </w:r>
          </w:p>
        </w:tc>
        <w:tc>
          <w:tcPr>
            <w:tcW w:w="3679" w:type="dxa"/>
          </w:tcPr>
          <w:p w14:paraId="614B0FA0" w14:textId="4482D450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1</w:t>
            </w:r>
          </w:p>
        </w:tc>
      </w:tr>
      <w:tr w:rsidR="00800FAF" w14:paraId="38E859C3" w14:textId="77777777" w:rsidTr="00800FAF">
        <w:tc>
          <w:tcPr>
            <w:tcW w:w="4815" w:type="dxa"/>
          </w:tcPr>
          <w:p w14:paraId="7283AE3F" w14:textId="5ECD5451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Balanço</w:t>
            </w:r>
          </w:p>
        </w:tc>
        <w:tc>
          <w:tcPr>
            <w:tcW w:w="3679" w:type="dxa"/>
          </w:tcPr>
          <w:p w14:paraId="40C0A0DF" w14:textId="6A17D97A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1</w:t>
            </w:r>
          </w:p>
        </w:tc>
      </w:tr>
      <w:tr w:rsidR="00800FAF" w14:paraId="711125D9" w14:textId="77777777" w:rsidTr="00800FAF">
        <w:tc>
          <w:tcPr>
            <w:tcW w:w="4815" w:type="dxa"/>
          </w:tcPr>
          <w:p w14:paraId="44C86402" w14:textId="4C32D751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Demonstração de resultados por natureza</w:t>
            </w:r>
          </w:p>
        </w:tc>
        <w:tc>
          <w:tcPr>
            <w:tcW w:w="3679" w:type="dxa"/>
          </w:tcPr>
          <w:p w14:paraId="56B17638" w14:textId="2FFF040C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1</w:t>
            </w:r>
          </w:p>
        </w:tc>
      </w:tr>
      <w:tr w:rsidR="00800FAF" w14:paraId="01BBCA8D" w14:textId="77777777" w:rsidTr="00800FAF">
        <w:tc>
          <w:tcPr>
            <w:tcW w:w="4815" w:type="dxa"/>
          </w:tcPr>
          <w:p w14:paraId="39E5D810" w14:textId="28097125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Demonstração das alterações no património líquido</w:t>
            </w:r>
          </w:p>
        </w:tc>
        <w:tc>
          <w:tcPr>
            <w:tcW w:w="3679" w:type="dxa"/>
          </w:tcPr>
          <w:p w14:paraId="419EBCBF" w14:textId="654B1B52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1</w:t>
            </w:r>
          </w:p>
        </w:tc>
      </w:tr>
      <w:tr w:rsidR="00800FAF" w14:paraId="41E5BB22" w14:textId="77777777" w:rsidTr="00800FAF">
        <w:tc>
          <w:tcPr>
            <w:tcW w:w="4815" w:type="dxa"/>
          </w:tcPr>
          <w:p w14:paraId="1C562A90" w14:textId="25272FBC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Demonstração dos fluxos de caixa</w:t>
            </w:r>
          </w:p>
        </w:tc>
        <w:tc>
          <w:tcPr>
            <w:tcW w:w="3679" w:type="dxa"/>
          </w:tcPr>
          <w:p w14:paraId="30AB97A7" w14:textId="0D640643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1</w:t>
            </w:r>
          </w:p>
        </w:tc>
      </w:tr>
      <w:tr w:rsidR="00800FAF" w14:paraId="2DCFE420" w14:textId="77777777" w:rsidTr="00800FAF">
        <w:tc>
          <w:tcPr>
            <w:tcW w:w="4815" w:type="dxa"/>
          </w:tcPr>
          <w:p w14:paraId="2548DC8C" w14:textId="6CA2EE9A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Anexo às demonstrações financeiras</w:t>
            </w:r>
          </w:p>
        </w:tc>
        <w:tc>
          <w:tcPr>
            <w:tcW w:w="3679" w:type="dxa"/>
          </w:tcPr>
          <w:p w14:paraId="7741AE7D" w14:textId="77777777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</w:p>
        </w:tc>
      </w:tr>
      <w:tr w:rsidR="00800FAF" w14:paraId="4D04A10F" w14:textId="77777777" w:rsidTr="00800FAF">
        <w:tc>
          <w:tcPr>
            <w:tcW w:w="4815" w:type="dxa"/>
          </w:tcPr>
          <w:p w14:paraId="1B6F7D10" w14:textId="3D25A934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3.2 - AI - quantia escriturada e variações no período</w:t>
            </w:r>
          </w:p>
        </w:tc>
        <w:tc>
          <w:tcPr>
            <w:tcW w:w="3679" w:type="dxa"/>
          </w:tcPr>
          <w:p w14:paraId="1F1D95B2" w14:textId="1A600D60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394D6B9A" w14:textId="77777777" w:rsidTr="00800FAF">
        <w:tc>
          <w:tcPr>
            <w:tcW w:w="4815" w:type="dxa"/>
          </w:tcPr>
          <w:p w14:paraId="39034415" w14:textId="13A51381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3.2A - AI - desagregação das adições</w:t>
            </w:r>
          </w:p>
        </w:tc>
        <w:tc>
          <w:tcPr>
            <w:tcW w:w="3679" w:type="dxa"/>
          </w:tcPr>
          <w:p w14:paraId="4D57B87D" w14:textId="71EDC8FB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353B7964" w14:textId="77777777" w:rsidTr="00800FAF">
        <w:tc>
          <w:tcPr>
            <w:tcW w:w="4815" w:type="dxa"/>
          </w:tcPr>
          <w:p w14:paraId="6A25C4C4" w14:textId="3D52EDB3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3.2B - AI - desagregação das diminuições</w:t>
            </w:r>
          </w:p>
        </w:tc>
        <w:tc>
          <w:tcPr>
            <w:tcW w:w="3679" w:type="dxa"/>
          </w:tcPr>
          <w:p w14:paraId="45FA7A87" w14:textId="4A442C5C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5B9E3019" w14:textId="77777777" w:rsidTr="00800FAF">
        <w:tc>
          <w:tcPr>
            <w:tcW w:w="4815" w:type="dxa"/>
          </w:tcPr>
          <w:p w14:paraId="45ACBDD4" w14:textId="382DF6B0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5.2 - AFT - quantia escriturada e variações no período</w:t>
            </w:r>
          </w:p>
        </w:tc>
        <w:tc>
          <w:tcPr>
            <w:tcW w:w="3679" w:type="dxa"/>
          </w:tcPr>
          <w:p w14:paraId="0EFB5951" w14:textId="3466A3E8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6EA71A77" w14:textId="77777777" w:rsidTr="00800FAF">
        <w:tc>
          <w:tcPr>
            <w:tcW w:w="4815" w:type="dxa"/>
          </w:tcPr>
          <w:p w14:paraId="5EA80759" w14:textId="75FADE03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5.2A - AFT - desagregação das adições</w:t>
            </w:r>
          </w:p>
        </w:tc>
        <w:tc>
          <w:tcPr>
            <w:tcW w:w="3679" w:type="dxa"/>
          </w:tcPr>
          <w:p w14:paraId="6F2EBA1F" w14:textId="60AAD6FE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7180EA52" w14:textId="77777777" w:rsidTr="00800FAF">
        <w:tc>
          <w:tcPr>
            <w:tcW w:w="4815" w:type="dxa"/>
          </w:tcPr>
          <w:p w14:paraId="1BAF33F4" w14:textId="341116CD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5.2B - AFT - desagregação das diminuições</w:t>
            </w:r>
          </w:p>
        </w:tc>
        <w:tc>
          <w:tcPr>
            <w:tcW w:w="3679" w:type="dxa"/>
          </w:tcPr>
          <w:p w14:paraId="2B68E0B3" w14:textId="1506B4B4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659824C0" w14:textId="77777777" w:rsidTr="00800FAF">
        <w:tc>
          <w:tcPr>
            <w:tcW w:w="4815" w:type="dxa"/>
          </w:tcPr>
          <w:p w14:paraId="72505E67" w14:textId="10168376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8.1 - PI (modelo justo valor) - quantia escriturada e movimentos do período</w:t>
            </w:r>
          </w:p>
        </w:tc>
        <w:tc>
          <w:tcPr>
            <w:tcW w:w="3679" w:type="dxa"/>
          </w:tcPr>
          <w:p w14:paraId="10429699" w14:textId="3D4F1C7B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726E5E4D" w14:textId="77777777" w:rsidTr="00800FAF">
        <w:tc>
          <w:tcPr>
            <w:tcW w:w="4815" w:type="dxa"/>
          </w:tcPr>
          <w:p w14:paraId="18C6CA4C" w14:textId="2085E683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8.2 - PI (modelo do custo) - quantia escriturada e movimentos do período</w:t>
            </w:r>
          </w:p>
        </w:tc>
        <w:tc>
          <w:tcPr>
            <w:tcW w:w="3679" w:type="dxa"/>
          </w:tcPr>
          <w:p w14:paraId="1D4B7258" w14:textId="1F047247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51E12C52" w14:textId="77777777" w:rsidTr="00800FAF">
        <w:tc>
          <w:tcPr>
            <w:tcW w:w="4815" w:type="dxa"/>
          </w:tcPr>
          <w:p w14:paraId="0F24A2FE" w14:textId="47694C46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8.1A - PI (modelo justo valor) - desagregação das adições</w:t>
            </w:r>
          </w:p>
        </w:tc>
        <w:tc>
          <w:tcPr>
            <w:tcW w:w="3679" w:type="dxa"/>
          </w:tcPr>
          <w:p w14:paraId="0B8D96DC" w14:textId="08A0CE3C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3F9CF280" w14:textId="77777777" w:rsidTr="00800FAF">
        <w:tc>
          <w:tcPr>
            <w:tcW w:w="4815" w:type="dxa"/>
          </w:tcPr>
          <w:p w14:paraId="466E1AAF" w14:textId="1A8E7222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8.2A - PI (modelo do custo) - desagregação das adições</w:t>
            </w:r>
          </w:p>
        </w:tc>
        <w:tc>
          <w:tcPr>
            <w:tcW w:w="3679" w:type="dxa"/>
          </w:tcPr>
          <w:p w14:paraId="09027DB3" w14:textId="1C148F5E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7E116ABF" w14:textId="77777777" w:rsidTr="00800FAF">
        <w:tc>
          <w:tcPr>
            <w:tcW w:w="4815" w:type="dxa"/>
          </w:tcPr>
          <w:p w14:paraId="18733E75" w14:textId="3A38DC7E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8.1B - PI (modelo justo valor) - desagregação das diminuições</w:t>
            </w:r>
          </w:p>
        </w:tc>
        <w:tc>
          <w:tcPr>
            <w:tcW w:w="3679" w:type="dxa"/>
          </w:tcPr>
          <w:p w14:paraId="182FD52A" w14:textId="5BCCCC22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7C17E805" w14:textId="77777777" w:rsidTr="00800FAF">
        <w:tc>
          <w:tcPr>
            <w:tcW w:w="4815" w:type="dxa"/>
          </w:tcPr>
          <w:p w14:paraId="7D390DF4" w14:textId="770710C7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Q 8.2B - PI (modelo do custo) - desagregação das diminuições</w:t>
            </w:r>
          </w:p>
        </w:tc>
        <w:tc>
          <w:tcPr>
            <w:tcW w:w="3679" w:type="dxa"/>
          </w:tcPr>
          <w:p w14:paraId="10D9517D" w14:textId="5AC01D06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5CD19FE1" w14:textId="77777777" w:rsidTr="00800FAF">
        <w:tc>
          <w:tcPr>
            <w:tcW w:w="4815" w:type="dxa"/>
          </w:tcPr>
          <w:p w14:paraId="3C2D1030" w14:textId="60B38CC4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Balancete analítico da contabilidade orçamental e financeira (classe 0 à 8) - mês 14</w:t>
            </w:r>
          </w:p>
        </w:tc>
        <w:tc>
          <w:tcPr>
            <w:tcW w:w="3679" w:type="dxa"/>
          </w:tcPr>
          <w:p w14:paraId="27D2CB65" w14:textId="172665DE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30E08A70" w14:textId="77777777" w:rsidTr="00800FAF">
        <w:tc>
          <w:tcPr>
            <w:tcW w:w="4815" w:type="dxa"/>
          </w:tcPr>
          <w:p w14:paraId="70EF71CC" w14:textId="04033F64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Balancete analítico da contabilidade orçamental e financeira (classe 0 à 8) - mês 13</w:t>
            </w:r>
          </w:p>
        </w:tc>
        <w:tc>
          <w:tcPr>
            <w:tcW w:w="3679" w:type="dxa"/>
          </w:tcPr>
          <w:p w14:paraId="2CED9100" w14:textId="371EC4B3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096BDF89" w14:textId="77777777" w:rsidTr="00800FAF">
        <w:tc>
          <w:tcPr>
            <w:tcW w:w="4815" w:type="dxa"/>
          </w:tcPr>
          <w:p w14:paraId="312BB192" w14:textId="7178A149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Demonstrações orçamentais</w:t>
            </w:r>
          </w:p>
        </w:tc>
        <w:tc>
          <w:tcPr>
            <w:tcW w:w="3679" w:type="dxa"/>
          </w:tcPr>
          <w:p w14:paraId="7448016E" w14:textId="77777777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</w:p>
        </w:tc>
      </w:tr>
      <w:tr w:rsidR="00800FAF" w14:paraId="182F0FF0" w14:textId="77777777" w:rsidTr="00800FAF">
        <w:tc>
          <w:tcPr>
            <w:tcW w:w="4815" w:type="dxa"/>
          </w:tcPr>
          <w:p w14:paraId="54E5EAA8" w14:textId="1543D600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Demonstrações previsionais</w:t>
            </w:r>
          </w:p>
        </w:tc>
        <w:tc>
          <w:tcPr>
            <w:tcW w:w="3679" w:type="dxa"/>
          </w:tcPr>
          <w:p w14:paraId="1368025B" w14:textId="77777777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</w:p>
        </w:tc>
      </w:tr>
      <w:tr w:rsidR="00800FAF" w14:paraId="068C14A8" w14:textId="77777777" w:rsidTr="00800FAF">
        <w:tc>
          <w:tcPr>
            <w:tcW w:w="4815" w:type="dxa"/>
          </w:tcPr>
          <w:p w14:paraId="60832A79" w14:textId="34DE6EEB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Orçamento e Plano Orçamental Plurianual</w:t>
            </w:r>
          </w:p>
        </w:tc>
        <w:tc>
          <w:tcPr>
            <w:tcW w:w="3679" w:type="dxa"/>
          </w:tcPr>
          <w:p w14:paraId="23015E51" w14:textId="2CF55BD3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3061F464" w14:textId="77777777" w:rsidTr="00800FAF">
        <w:tc>
          <w:tcPr>
            <w:tcW w:w="4815" w:type="dxa"/>
          </w:tcPr>
          <w:p w14:paraId="47013298" w14:textId="7EF1D6B6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Plano plurianual de investimentos (PPI)</w:t>
            </w:r>
          </w:p>
        </w:tc>
        <w:tc>
          <w:tcPr>
            <w:tcW w:w="3679" w:type="dxa"/>
          </w:tcPr>
          <w:p w14:paraId="13FEC897" w14:textId="5BD0695E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6DAF5BC4" w14:textId="77777777" w:rsidTr="00800FAF">
        <w:tc>
          <w:tcPr>
            <w:tcW w:w="4815" w:type="dxa"/>
          </w:tcPr>
          <w:p w14:paraId="38E96843" w14:textId="69D3AB30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Demonstrações de relato (individuais)</w:t>
            </w:r>
          </w:p>
        </w:tc>
        <w:tc>
          <w:tcPr>
            <w:tcW w:w="3679" w:type="dxa"/>
          </w:tcPr>
          <w:p w14:paraId="6D519433" w14:textId="6567326F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3C8ADFE7" w14:textId="77777777" w:rsidTr="00800FAF">
        <w:tc>
          <w:tcPr>
            <w:tcW w:w="4815" w:type="dxa"/>
          </w:tcPr>
          <w:p w14:paraId="7B605620" w14:textId="2C929A4D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Demonstração de desempenho orçamental</w:t>
            </w:r>
          </w:p>
        </w:tc>
        <w:tc>
          <w:tcPr>
            <w:tcW w:w="3679" w:type="dxa"/>
          </w:tcPr>
          <w:p w14:paraId="39D5076E" w14:textId="4306ACC2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7878FDAA" w14:textId="77777777" w:rsidTr="00800FAF">
        <w:tc>
          <w:tcPr>
            <w:tcW w:w="4815" w:type="dxa"/>
          </w:tcPr>
          <w:p w14:paraId="640B522E" w14:textId="1FD56A9F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Demonstração de execução orçamental da receita</w:t>
            </w:r>
          </w:p>
        </w:tc>
        <w:tc>
          <w:tcPr>
            <w:tcW w:w="3679" w:type="dxa"/>
          </w:tcPr>
          <w:p w14:paraId="215C997C" w14:textId="721E5F8C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01F18614" w14:textId="77777777" w:rsidTr="00800FAF">
        <w:tc>
          <w:tcPr>
            <w:tcW w:w="4815" w:type="dxa"/>
          </w:tcPr>
          <w:p w14:paraId="54A857DF" w14:textId="536F28C1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Demonstração de execução orçamental da despesa</w:t>
            </w:r>
          </w:p>
        </w:tc>
        <w:tc>
          <w:tcPr>
            <w:tcW w:w="3679" w:type="dxa"/>
          </w:tcPr>
          <w:p w14:paraId="593FDC41" w14:textId="12446C3B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4AA27AF7" w14:textId="77777777" w:rsidTr="00800FAF">
        <w:tc>
          <w:tcPr>
            <w:tcW w:w="4815" w:type="dxa"/>
          </w:tcPr>
          <w:p w14:paraId="29B1664A" w14:textId="59AF18AC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Demonstração da execução do plano plurianual de investimentos</w:t>
            </w:r>
          </w:p>
        </w:tc>
        <w:tc>
          <w:tcPr>
            <w:tcW w:w="3679" w:type="dxa"/>
          </w:tcPr>
          <w:p w14:paraId="15ADE121" w14:textId="65F8DC56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1AD5923B" w14:textId="77777777" w:rsidTr="00800FAF">
        <w:tc>
          <w:tcPr>
            <w:tcW w:w="4815" w:type="dxa"/>
          </w:tcPr>
          <w:p w14:paraId="5654369D" w14:textId="6E39A616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Anexo às demonstrações orçamentais</w:t>
            </w:r>
          </w:p>
        </w:tc>
        <w:tc>
          <w:tcPr>
            <w:tcW w:w="3679" w:type="dxa"/>
          </w:tcPr>
          <w:p w14:paraId="77BFF98D" w14:textId="1729C555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074A3245" w14:textId="77777777" w:rsidTr="00800FAF">
        <w:tc>
          <w:tcPr>
            <w:tcW w:w="4815" w:type="dxa"/>
          </w:tcPr>
          <w:p w14:paraId="0E57AC97" w14:textId="042579AA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1. Alterações orçamentais da receita</w:t>
            </w:r>
          </w:p>
        </w:tc>
        <w:tc>
          <w:tcPr>
            <w:tcW w:w="3679" w:type="dxa"/>
          </w:tcPr>
          <w:p w14:paraId="5484D773" w14:textId="38840B8C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33648326" w14:textId="77777777" w:rsidTr="00800FAF">
        <w:tc>
          <w:tcPr>
            <w:tcW w:w="4815" w:type="dxa"/>
          </w:tcPr>
          <w:p w14:paraId="44772C3A" w14:textId="54CA3A0E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2. Alterações orçamentais da despesa</w:t>
            </w:r>
          </w:p>
        </w:tc>
        <w:tc>
          <w:tcPr>
            <w:tcW w:w="3679" w:type="dxa"/>
          </w:tcPr>
          <w:p w14:paraId="2AE87886" w14:textId="3CBBC025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6770AB12" w14:textId="77777777" w:rsidTr="00800FAF">
        <w:tc>
          <w:tcPr>
            <w:tcW w:w="4815" w:type="dxa"/>
          </w:tcPr>
          <w:p w14:paraId="320813CF" w14:textId="000834AF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3. Alterações ao plano plurianual de investimentos</w:t>
            </w:r>
          </w:p>
        </w:tc>
        <w:tc>
          <w:tcPr>
            <w:tcW w:w="3679" w:type="dxa"/>
          </w:tcPr>
          <w:p w14:paraId="7AECBF37" w14:textId="09C70D75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08A9DE2D" w14:textId="77777777" w:rsidTr="00800FAF">
        <w:tc>
          <w:tcPr>
            <w:tcW w:w="4815" w:type="dxa"/>
          </w:tcPr>
          <w:p w14:paraId="685FC8BF" w14:textId="5D5AE310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4. Operações de tesouraria</w:t>
            </w:r>
          </w:p>
        </w:tc>
        <w:tc>
          <w:tcPr>
            <w:tcW w:w="3679" w:type="dxa"/>
          </w:tcPr>
          <w:p w14:paraId="3DA54737" w14:textId="345BF5F4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2427C9D0" w14:textId="77777777" w:rsidTr="00800FAF">
        <w:tc>
          <w:tcPr>
            <w:tcW w:w="4815" w:type="dxa"/>
          </w:tcPr>
          <w:p w14:paraId="13521875" w14:textId="0A30C7BC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5.1 Contratação administrativa - situação dos contratos</w:t>
            </w:r>
          </w:p>
        </w:tc>
        <w:tc>
          <w:tcPr>
            <w:tcW w:w="3679" w:type="dxa"/>
          </w:tcPr>
          <w:p w14:paraId="4F810849" w14:textId="46F7712D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686DA6DC" w14:textId="77777777" w:rsidTr="00800FAF">
        <w:tc>
          <w:tcPr>
            <w:tcW w:w="4815" w:type="dxa"/>
          </w:tcPr>
          <w:p w14:paraId="2575FC9E" w14:textId="1D540274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lastRenderedPageBreak/>
              <w:t>5.2 Contratação administrativa - adjudicações por tipo de procedimento</w:t>
            </w:r>
          </w:p>
        </w:tc>
        <w:tc>
          <w:tcPr>
            <w:tcW w:w="3679" w:type="dxa"/>
          </w:tcPr>
          <w:p w14:paraId="3A68FAE3" w14:textId="1DBD9587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6AC92393" w14:textId="77777777" w:rsidTr="00800FAF">
        <w:tc>
          <w:tcPr>
            <w:tcW w:w="4815" w:type="dxa"/>
          </w:tcPr>
          <w:p w14:paraId="51A7424D" w14:textId="774E6865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6.1 Transferências e subsídios concedidos</w:t>
            </w:r>
          </w:p>
        </w:tc>
        <w:tc>
          <w:tcPr>
            <w:tcW w:w="3679" w:type="dxa"/>
          </w:tcPr>
          <w:p w14:paraId="18A771E5" w14:textId="0D1E2F24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2A1AEC46" w14:textId="77777777" w:rsidTr="00800FAF">
        <w:tc>
          <w:tcPr>
            <w:tcW w:w="4815" w:type="dxa"/>
          </w:tcPr>
          <w:p w14:paraId="41669FE2" w14:textId="66691444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6.2 Transferências e subsídios recebidos</w:t>
            </w:r>
          </w:p>
        </w:tc>
        <w:tc>
          <w:tcPr>
            <w:tcW w:w="3679" w:type="dxa"/>
          </w:tcPr>
          <w:p w14:paraId="19108715" w14:textId="5A033C69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46A09BC0" w14:textId="77777777" w:rsidTr="00800FAF">
        <w:tc>
          <w:tcPr>
            <w:tcW w:w="4815" w:type="dxa"/>
          </w:tcPr>
          <w:p w14:paraId="0776B9AF" w14:textId="56BD2AA1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7. Outras divulgações</w:t>
            </w:r>
          </w:p>
        </w:tc>
        <w:tc>
          <w:tcPr>
            <w:tcW w:w="3679" w:type="dxa"/>
          </w:tcPr>
          <w:p w14:paraId="70BE110A" w14:textId="49317B29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3908C771" w14:textId="77777777" w:rsidTr="00800FAF">
        <w:tc>
          <w:tcPr>
            <w:tcW w:w="4815" w:type="dxa"/>
          </w:tcPr>
          <w:p w14:paraId="1A83FCFA" w14:textId="50311355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Dívidas a terceiros por antiguidade dos saldos</w:t>
            </w:r>
          </w:p>
        </w:tc>
        <w:tc>
          <w:tcPr>
            <w:tcW w:w="3679" w:type="dxa"/>
          </w:tcPr>
          <w:p w14:paraId="548CCFB2" w14:textId="05BF781A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1B0AE8D6" w14:textId="77777777" w:rsidTr="00800FAF">
        <w:tc>
          <w:tcPr>
            <w:tcW w:w="4815" w:type="dxa"/>
          </w:tcPr>
          <w:p w14:paraId="20D8037C" w14:textId="4EA6148B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Encargos contratuais</w:t>
            </w:r>
          </w:p>
        </w:tc>
        <w:tc>
          <w:tcPr>
            <w:tcW w:w="3679" w:type="dxa"/>
          </w:tcPr>
          <w:p w14:paraId="1A0A5FD3" w14:textId="3F1FE13E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Norma Técnica 1/2017</w:t>
            </w:r>
          </w:p>
        </w:tc>
      </w:tr>
      <w:tr w:rsidR="00800FAF" w14:paraId="79643D19" w14:textId="77777777" w:rsidTr="00800FAF">
        <w:tc>
          <w:tcPr>
            <w:tcW w:w="4815" w:type="dxa"/>
          </w:tcPr>
          <w:p w14:paraId="6D7E9292" w14:textId="332F83A2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Balancete analítico da contabilidade orçamental (classe 0) - mês 13</w:t>
            </w:r>
          </w:p>
        </w:tc>
        <w:tc>
          <w:tcPr>
            <w:tcW w:w="3679" w:type="dxa"/>
          </w:tcPr>
          <w:p w14:paraId="718ECCB1" w14:textId="77777777" w:rsidR="00800FAF" w:rsidRDefault="00800FAF" w:rsidP="00800FAF">
            <w:pPr>
              <w:jc w:val="center"/>
              <w:rPr>
                <w:sz w:val="21"/>
                <w:szCs w:val="21"/>
              </w:rPr>
            </w:pPr>
          </w:p>
          <w:p w14:paraId="2BC9D7B0" w14:textId="7ED94DE9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39361B28" w14:textId="77777777" w:rsidTr="00800FAF">
        <w:tc>
          <w:tcPr>
            <w:tcW w:w="4815" w:type="dxa"/>
          </w:tcPr>
          <w:p w14:paraId="1588D0D6" w14:textId="56C70FDD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Balancete analítico da contabilidade orçamental (classe 0) - mês 14</w:t>
            </w:r>
          </w:p>
        </w:tc>
        <w:tc>
          <w:tcPr>
            <w:tcW w:w="3679" w:type="dxa"/>
          </w:tcPr>
          <w:p w14:paraId="1E2B96DB" w14:textId="77777777" w:rsidR="00800FAF" w:rsidRDefault="00800FAF" w:rsidP="00800FAF">
            <w:pPr>
              <w:jc w:val="center"/>
              <w:rPr>
                <w:sz w:val="21"/>
                <w:szCs w:val="21"/>
              </w:rPr>
            </w:pPr>
          </w:p>
          <w:p w14:paraId="3CC052D2" w14:textId="0E4F959E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26</w:t>
            </w:r>
          </w:p>
        </w:tc>
      </w:tr>
      <w:tr w:rsidR="00800FAF" w14:paraId="4A887D9C" w14:textId="77777777" w:rsidTr="00800FAF">
        <w:tc>
          <w:tcPr>
            <w:tcW w:w="4815" w:type="dxa"/>
          </w:tcPr>
          <w:p w14:paraId="6BBC9157" w14:textId="17AA7406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Contabilidade de gestão:</w:t>
            </w:r>
          </w:p>
        </w:tc>
        <w:tc>
          <w:tcPr>
            <w:tcW w:w="3679" w:type="dxa"/>
          </w:tcPr>
          <w:p w14:paraId="3C209F35" w14:textId="77777777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</w:p>
        </w:tc>
      </w:tr>
      <w:tr w:rsidR="00800FAF" w14:paraId="716BE5CC" w14:textId="77777777" w:rsidTr="00800FAF">
        <w:tc>
          <w:tcPr>
            <w:tcW w:w="4815" w:type="dxa"/>
          </w:tcPr>
          <w:p w14:paraId="65C03A17" w14:textId="6CEC6033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Relatórios periódicos de relato à gestão (parágrafo 33 NCP 27)</w:t>
            </w:r>
          </w:p>
        </w:tc>
        <w:tc>
          <w:tcPr>
            <w:tcW w:w="3679" w:type="dxa"/>
          </w:tcPr>
          <w:p w14:paraId="16ECA089" w14:textId="77777777" w:rsidR="00800FAF" w:rsidRDefault="00800FAF" w:rsidP="00800FAF">
            <w:pPr>
              <w:jc w:val="center"/>
              <w:rPr>
                <w:sz w:val="21"/>
                <w:szCs w:val="21"/>
              </w:rPr>
            </w:pPr>
          </w:p>
          <w:p w14:paraId="1A81677D" w14:textId="1D45B991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27</w:t>
            </w:r>
          </w:p>
        </w:tc>
      </w:tr>
      <w:tr w:rsidR="00800FAF" w14:paraId="16038526" w14:textId="77777777" w:rsidTr="00800FAF">
        <w:tc>
          <w:tcPr>
            <w:tcW w:w="4815" w:type="dxa"/>
          </w:tcPr>
          <w:p w14:paraId="535BB693" w14:textId="29136742" w:rsidR="00800FAF" w:rsidRPr="00800FAF" w:rsidRDefault="00800FAF" w:rsidP="00800FAF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Relatório de gestão (parágrafo 34 NCP27) se a informação não estiver incluída em outro documento de prestação de contas</w:t>
            </w:r>
          </w:p>
        </w:tc>
        <w:tc>
          <w:tcPr>
            <w:tcW w:w="3679" w:type="dxa"/>
          </w:tcPr>
          <w:p w14:paraId="00497622" w14:textId="77777777" w:rsidR="00800FAF" w:rsidRDefault="00800FAF" w:rsidP="00800FAF">
            <w:pPr>
              <w:jc w:val="center"/>
              <w:rPr>
                <w:sz w:val="21"/>
                <w:szCs w:val="21"/>
              </w:rPr>
            </w:pPr>
          </w:p>
          <w:p w14:paraId="0077FBCD" w14:textId="623AAE9C" w:rsidR="00800FAF" w:rsidRPr="00800FAF" w:rsidRDefault="00800FAF" w:rsidP="00800FAF">
            <w:pPr>
              <w:jc w:val="center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NCP 27</w:t>
            </w:r>
          </w:p>
        </w:tc>
      </w:tr>
      <w:tr w:rsidR="00800FAF" w14:paraId="71902B7D" w14:textId="77777777" w:rsidTr="00800FAF">
        <w:tc>
          <w:tcPr>
            <w:tcW w:w="4815" w:type="dxa"/>
          </w:tcPr>
          <w:p w14:paraId="2017B396" w14:textId="3BAD2F2A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Outros:</w:t>
            </w:r>
          </w:p>
        </w:tc>
        <w:tc>
          <w:tcPr>
            <w:tcW w:w="3679" w:type="dxa"/>
          </w:tcPr>
          <w:p w14:paraId="485149FC" w14:textId="77777777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</w:p>
        </w:tc>
      </w:tr>
      <w:tr w:rsidR="00800FAF" w14:paraId="2C5544DC" w14:textId="77777777" w:rsidTr="00800FAF">
        <w:tc>
          <w:tcPr>
            <w:tcW w:w="4815" w:type="dxa"/>
          </w:tcPr>
          <w:p w14:paraId="42E141F6" w14:textId="0D7B27ED" w:rsidR="00800FAF" w:rsidRPr="00800FAF" w:rsidRDefault="00800FAF" w:rsidP="00CF460C">
            <w:pPr>
              <w:jc w:val="both"/>
              <w:rPr>
                <w:sz w:val="21"/>
                <w:szCs w:val="21"/>
              </w:rPr>
            </w:pPr>
            <w:r w:rsidRPr="00800FAF">
              <w:rPr>
                <w:sz w:val="21"/>
                <w:szCs w:val="21"/>
              </w:rPr>
              <w:t>Correspondência entre o plano de contas local e plano de contas central</w:t>
            </w:r>
          </w:p>
        </w:tc>
        <w:tc>
          <w:tcPr>
            <w:tcW w:w="3679" w:type="dxa"/>
          </w:tcPr>
          <w:p w14:paraId="56AC5567" w14:textId="23EA6228" w:rsidR="00800FAF" w:rsidRPr="00800FAF" w:rsidRDefault="00800FAF" w:rsidP="00596240">
            <w:pPr>
              <w:keepNext/>
              <w:jc w:val="center"/>
              <w:rPr>
                <w:sz w:val="21"/>
                <w:szCs w:val="21"/>
              </w:rPr>
            </w:pPr>
            <w:r>
              <w:t>Norma Técnica 1/2017</w:t>
            </w:r>
          </w:p>
        </w:tc>
      </w:tr>
    </w:tbl>
    <w:p w14:paraId="1EB45F88" w14:textId="77777777" w:rsidR="00D247F4" w:rsidRDefault="00D247F4" w:rsidP="00CF460C">
      <w:pPr>
        <w:jc w:val="both"/>
      </w:pPr>
    </w:p>
    <w:p w14:paraId="0C632583" w14:textId="034BCE85" w:rsidR="00D247F4" w:rsidRDefault="00800FAF" w:rsidP="00D247F4">
      <w:pPr>
        <w:pStyle w:val="Subtitle"/>
        <w:numPr>
          <w:ilvl w:val="0"/>
          <w:numId w:val="21"/>
        </w:numPr>
        <w:rPr>
          <w:rFonts w:eastAsiaTheme="majorEastAsia"/>
        </w:rPr>
      </w:pPr>
      <w:r>
        <w:rPr>
          <w:rFonts w:eastAsiaTheme="majorEastAsia"/>
        </w:rPr>
        <w:t>MICROENTIDADES</w:t>
      </w:r>
    </w:p>
    <w:p w14:paraId="0E3E87AE" w14:textId="77777777" w:rsidR="00855DF7" w:rsidRPr="00855DF7" w:rsidRDefault="00855DF7" w:rsidP="00855DF7"/>
    <w:p w14:paraId="67D74EF5" w14:textId="715D6A86" w:rsidR="00596240" w:rsidRDefault="00596240" w:rsidP="00994559">
      <w:pPr>
        <w:pStyle w:val="Caption"/>
        <w:keepNext/>
      </w:pPr>
      <w:bookmarkStart w:id="5" w:name="_Toc75783067"/>
      <w:r>
        <w:t xml:space="preserve">Quadro </w:t>
      </w:r>
      <w:fldSimple w:instr=" SEQ Quadro \* ARABIC ">
        <w:r w:rsidR="003F01D5">
          <w:rPr>
            <w:noProof/>
          </w:rPr>
          <w:t>3</w:t>
        </w:r>
      </w:fldSimple>
      <w:r>
        <w:t xml:space="preserve"> - Demonstrações Orçamentais das </w:t>
      </w:r>
      <w:proofErr w:type="spellStart"/>
      <w:r>
        <w:t>Microentidades</w:t>
      </w:r>
      <w:bookmarkEnd w:id="5"/>
      <w:proofErr w:type="spellEnd"/>
    </w:p>
    <w:tbl>
      <w:tblPr>
        <w:tblStyle w:val="TableGrid"/>
        <w:tblW w:w="8784" w:type="dxa"/>
        <w:jc w:val="center"/>
        <w:tblLook w:val="04A0" w:firstRow="1" w:lastRow="0" w:firstColumn="1" w:lastColumn="0" w:noHBand="0" w:noVBand="1"/>
      </w:tblPr>
      <w:tblGrid>
        <w:gridCol w:w="6516"/>
        <w:gridCol w:w="2268"/>
      </w:tblGrid>
      <w:tr w:rsidR="00D276F9" w14:paraId="6C7E957B" w14:textId="77777777" w:rsidTr="00D276F9">
        <w:trPr>
          <w:jc w:val="center"/>
        </w:trPr>
        <w:tc>
          <w:tcPr>
            <w:tcW w:w="6516" w:type="dxa"/>
            <w:shd w:val="clear" w:color="auto" w:fill="4472C4" w:themeFill="accent1"/>
          </w:tcPr>
          <w:p w14:paraId="62D0BA05" w14:textId="08982EFD" w:rsidR="00D276F9" w:rsidRPr="000F6525" w:rsidRDefault="00D276F9" w:rsidP="00D276F9">
            <w:pPr>
              <w:rPr>
                <w:b/>
                <w:bCs/>
                <w:sz w:val="21"/>
                <w:szCs w:val="21"/>
              </w:rPr>
            </w:pPr>
            <w:r w:rsidRPr="00800FAF">
              <w:rPr>
                <w:b/>
                <w:bCs/>
                <w:color w:val="FFFFFF" w:themeColor="background1"/>
              </w:rPr>
              <w:br w:type="page"/>
              <w:t>Demonstrações Orçamentais</w:t>
            </w:r>
          </w:p>
        </w:tc>
        <w:tc>
          <w:tcPr>
            <w:tcW w:w="2268" w:type="dxa"/>
            <w:shd w:val="clear" w:color="auto" w:fill="4472C4" w:themeFill="accent1"/>
          </w:tcPr>
          <w:p w14:paraId="7C7D42F4" w14:textId="00762058" w:rsidR="00D276F9" w:rsidRPr="000F6525" w:rsidRDefault="00D276F9" w:rsidP="00D276F9">
            <w:pPr>
              <w:jc w:val="center"/>
              <w:rPr>
                <w:b/>
                <w:bCs/>
                <w:sz w:val="21"/>
                <w:szCs w:val="21"/>
              </w:rPr>
            </w:pPr>
            <w:r w:rsidRPr="00800FAF">
              <w:rPr>
                <w:b/>
                <w:bCs/>
                <w:color w:val="FFFFFF" w:themeColor="background1"/>
              </w:rPr>
              <w:t xml:space="preserve">Regime Simplificado - </w:t>
            </w:r>
            <w:r>
              <w:rPr>
                <w:b/>
                <w:bCs/>
                <w:color w:val="FFFFFF" w:themeColor="background1"/>
              </w:rPr>
              <w:t>MICROENTIDADES</w:t>
            </w:r>
          </w:p>
        </w:tc>
      </w:tr>
      <w:tr w:rsidR="00D276F9" w14:paraId="58E3D8F1" w14:textId="77777777" w:rsidTr="00D276F9">
        <w:trPr>
          <w:jc w:val="center"/>
        </w:trPr>
        <w:tc>
          <w:tcPr>
            <w:tcW w:w="6516" w:type="dxa"/>
            <w:shd w:val="clear" w:color="auto" w:fill="auto"/>
          </w:tcPr>
          <w:p w14:paraId="11693133" w14:textId="77777777" w:rsidR="00D276F9" w:rsidRPr="000F6525" w:rsidRDefault="00D276F9" w:rsidP="00AE548C">
            <w:pPr>
              <w:rPr>
                <w:b/>
                <w:bCs/>
                <w:sz w:val="21"/>
                <w:szCs w:val="21"/>
              </w:rPr>
            </w:pPr>
            <w:r w:rsidRPr="000F6525">
              <w:rPr>
                <w:b/>
                <w:bCs/>
                <w:sz w:val="21"/>
                <w:szCs w:val="21"/>
              </w:rPr>
              <w:t>Demonstrações previsionais</w:t>
            </w:r>
          </w:p>
        </w:tc>
        <w:tc>
          <w:tcPr>
            <w:tcW w:w="2268" w:type="dxa"/>
            <w:shd w:val="clear" w:color="auto" w:fill="auto"/>
          </w:tcPr>
          <w:p w14:paraId="0B911BCA" w14:textId="7F63941C" w:rsidR="00D276F9" w:rsidRPr="000F6525" w:rsidRDefault="00D276F9" w:rsidP="00AE548C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D276F9" w14:paraId="010F7122" w14:textId="77777777" w:rsidTr="00D276F9">
        <w:trPr>
          <w:jc w:val="center"/>
        </w:trPr>
        <w:tc>
          <w:tcPr>
            <w:tcW w:w="6516" w:type="dxa"/>
          </w:tcPr>
          <w:p w14:paraId="3806771C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Orçamento e Plano Orçamental Plurianual</w:t>
            </w:r>
          </w:p>
        </w:tc>
        <w:tc>
          <w:tcPr>
            <w:tcW w:w="2268" w:type="dxa"/>
          </w:tcPr>
          <w:p w14:paraId="6B1433AD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NCP 26</w:t>
            </w:r>
          </w:p>
        </w:tc>
      </w:tr>
      <w:tr w:rsidR="00D276F9" w14:paraId="303B7B69" w14:textId="77777777" w:rsidTr="00D276F9">
        <w:trPr>
          <w:jc w:val="center"/>
        </w:trPr>
        <w:tc>
          <w:tcPr>
            <w:tcW w:w="6516" w:type="dxa"/>
          </w:tcPr>
          <w:p w14:paraId="4873CD70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Plano Plurianual de investimentos (PPI)</w:t>
            </w:r>
          </w:p>
        </w:tc>
        <w:tc>
          <w:tcPr>
            <w:tcW w:w="2268" w:type="dxa"/>
          </w:tcPr>
          <w:p w14:paraId="1D9D2259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NCP 26</w:t>
            </w:r>
          </w:p>
        </w:tc>
      </w:tr>
      <w:tr w:rsidR="00D276F9" w14:paraId="33D39684" w14:textId="77777777" w:rsidTr="00D276F9">
        <w:trPr>
          <w:jc w:val="center"/>
        </w:trPr>
        <w:tc>
          <w:tcPr>
            <w:tcW w:w="6516" w:type="dxa"/>
          </w:tcPr>
          <w:p w14:paraId="74FA4521" w14:textId="77777777" w:rsidR="00D276F9" w:rsidRPr="000F6525" w:rsidRDefault="00D276F9" w:rsidP="00AE548C">
            <w:pPr>
              <w:rPr>
                <w:b/>
                <w:bCs/>
                <w:sz w:val="21"/>
                <w:szCs w:val="21"/>
              </w:rPr>
            </w:pPr>
            <w:r w:rsidRPr="000F6525">
              <w:rPr>
                <w:b/>
                <w:bCs/>
                <w:sz w:val="21"/>
                <w:szCs w:val="21"/>
              </w:rPr>
              <w:t>Demonstração de desempenho orçamental</w:t>
            </w:r>
          </w:p>
        </w:tc>
        <w:tc>
          <w:tcPr>
            <w:tcW w:w="2268" w:type="dxa"/>
          </w:tcPr>
          <w:p w14:paraId="403B08F6" w14:textId="2A35FF24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</w:p>
        </w:tc>
      </w:tr>
      <w:tr w:rsidR="00D276F9" w14:paraId="63CB681D" w14:textId="77777777" w:rsidTr="00D276F9">
        <w:trPr>
          <w:jc w:val="center"/>
        </w:trPr>
        <w:tc>
          <w:tcPr>
            <w:tcW w:w="6516" w:type="dxa"/>
          </w:tcPr>
          <w:p w14:paraId="574214ED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 xml:space="preserve">Demonstração de execução orçamental da receita </w:t>
            </w:r>
          </w:p>
        </w:tc>
        <w:tc>
          <w:tcPr>
            <w:tcW w:w="2268" w:type="dxa"/>
          </w:tcPr>
          <w:p w14:paraId="1D29B32C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59FA9281" w14:textId="77777777" w:rsidTr="00D276F9">
        <w:trPr>
          <w:jc w:val="center"/>
        </w:trPr>
        <w:tc>
          <w:tcPr>
            <w:tcW w:w="6516" w:type="dxa"/>
          </w:tcPr>
          <w:p w14:paraId="0D66052B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Demonstração de execução orçamental da despesa</w:t>
            </w:r>
          </w:p>
        </w:tc>
        <w:tc>
          <w:tcPr>
            <w:tcW w:w="2268" w:type="dxa"/>
          </w:tcPr>
          <w:p w14:paraId="1DE0F3ED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6F68E27B" w14:textId="77777777" w:rsidTr="00D276F9">
        <w:trPr>
          <w:jc w:val="center"/>
        </w:trPr>
        <w:tc>
          <w:tcPr>
            <w:tcW w:w="6516" w:type="dxa"/>
          </w:tcPr>
          <w:p w14:paraId="7CD33CAC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Demonstração de execução do plano plurianual de investimentos</w:t>
            </w:r>
          </w:p>
        </w:tc>
        <w:tc>
          <w:tcPr>
            <w:tcW w:w="2268" w:type="dxa"/>
          </w:tcPr>
          <w:p w14:paraId="4ECB7C35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49618DA1" w14:textId="77777777" w:rsidTr="00D276F9">
        <w:trPr>
          <w:jc w:val="center"/>
        </w:trPr>
        <w:tc>
          <w:tcPr>
            <w:tcW w:w="6516" w:type="dxa"/>
          </w:tcPr>
          <w:p w14:paraId="25C571BC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Anexo às demonstrações orçamentais</w:t>
            </w:r>
          </w:p>
        </w:tc>
        <w:tc>
          <w:tcPr>
            <w:tcW w:w="2268" w:type="dxa"/>
          </w:tcPr>
          <w:p w14:paraId="22A90640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3CDF4FCE" w14:textId="77777777" w:rsidTr="00D276F9">
        <w:trPr>
          <w:jc w:val="center"/>
        </w:trPr>
        <w:tc>
          <w:tcPr>
            <w:tcW w:w="6516" w:type="dxa"/>
          </w:tcPr>
          <w:p w14:paraId="3E834529" w14:textId="77777777" w:rsidR="00D276F9" w:rsidRPr="007442D6" w:rsidRDefault="00D276F9" w:rsidP="00D276F9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7442D6">
              <w:rPr>
                <w:sz w:val="20"/>
                <w:szCs w:val="20"/>
              </w:rPr>
              <w:t>Alterações orçamentais da receita</w:t>
            </w:r>
          </w:p>
        </w:tc>
        <w:tc>
          <w:tcPr>
            <w:tcW w:w="2268" w:type="dxa"/>
          </w:tcPr>
          <w:p w14:paraId="4D011068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1CAE5D81" w14:textId="77777777" w:rsidTr="00D276F9">
        <w:trPr>
          <w:jc w:val="center"/>
        </w:trPr>
        <w:tc>
          <w:tcPr>
            <w:tcW w:w="6516" w:type="dxa"/>
          </w:tcPr>
          <w:p w14:paraId="5E056C7F" w14:textId="77777777" w:rsidR="00D276F9" w:rsidRPr="007442D6" w:rsidRDefault="00D276F9" w:rsidP="00D276F9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7442D6">
              <w:rPr>
                <w:sz w:val="20"/>
                <w:szCs w:val="20"/>
              </w:rPr>
              <w:t>Alterações orçamentais da despesa</w:t>
            </w:r>
          </w:p>
        </w:tc>
        <w:tc>
          <w:tcPr>
            <w:tcW w:w="2268" w:type="dxa"/>
          </w:tcPr>
          <w:p w14:paraId="11203C1A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1C6E9023" w14:textId="77777777" w:rsidTr="00D276F9">
        <w:trPr>
          <w:jc w:val="center"/>
        </w:trPr>
        <w:tc>
          <w:tcPr>
            <w:tcW w:w="6516" w:type="dxa"/>
          </w:tcPr>
          <w:p w14:paraId="6845F035" w14:textId="77777777" w:rsidR="00D276F9" w:rsidRPr="007442D6" w:rsidRDefault="00D276F9" w:rsidP="00D276F9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7442D6">
              <w:rPr>
                <w:sz w:val="20"/>
                <w:szCs w:val="20"/>
              </w:rPr>
              <w:t>Alterações ao plano plurianual de investimentos</w:t>
            </w:r>
          </w:p>
        </w:tc>
        <w:tc>
          <w:tcPr>
            <w:tcW w:w="2268" w:type="dxa"/>
          </w:tcPr>
          <w:p w14:paraId="5E1D12FE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10705401" w14:textId="77777777" w:rsidTr="00D276F9">
        <w:trPr>
          <w:jc w:val="center"/>
        </w:trPr>
        <w:tc>
          <w:tcPr>
            <w:tcW w:w="6516" w:type="dxa"/>
          </w:tcPr>
          <w:p w14:paraId="589C5DD7" w14:textId="77777777" w:rsidR="00D276F9" w:rsidRPr="007442D6" w:rsidRDefault="00D276F9" w:rsidP="00D276F9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7442D6">
              <w:rPr>
                <w:sz w:val="20"/>
                <w:szCs w:val="20"/>
              </w:rPr>
              <w:t>Operações de tesouraria</w:t>
            </w:r>
          </w:p>
        </w:tc>
        <w:tc>
          <w:tcPr>
            <w:tcW w:w="2268" w:type="dxa"/>
          </w:tcPr>
          <w:p w14:paraId="01C8D3C1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73C82123" w14:textId="77777777" w:rsidTr="00D276F9">
        <w:trPr>
          <w:jc w:val="center"/>
        </w:trPr>
        <w:tc>
          <w:tcPr>
            <w:tcW w:w="6516" w:type="dxa"/>
          </w:tcPr>
          <w:p w14:paraId="40536961" w14:textId="77777777" w:rsidR="00D276F9" w:rsidRPr="007442D6" w:rsidRDefault="00D276F9" w:rsidP="00AE548C">
            <w:pPr>
              <w:rPr>
                <w:sz w:val="20"/>
                <w:szCs w:val="20"/>
              </w:rPr>
            </w:pPr>
            <w:r w:rsidRPr="007442D6">
              <w:rPr>
                <w:sz w:val="20"/>
                <w:szCs w:val="20"/>
              </w:rPr>
              <w:t xml:space="preserve">       5.1. Contratação administrativa – situação dos contratos </w:t>
            </w:r>
          </w:p>
        </w:tc>
        <w:tc>
          <w:tcPr>
            <w:tcW w:w="2268" w:type="dxa"/>
          </w:tcPr>
          <w:p w14:paraId="5AFE95DD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02FF1ECC" w14:textId="77777777" w:rsidTr="00D276F9">
        <w:trPr>
          <w:jc w:val="center"/>
        </w:trPr>
        <w:tc>
          <w:tcPr>
            <w:tcW w:w="6516" w:type="dxa"/>
          </w:tcPr>
          <w:p w14:paraId="5FAC4475" w14:textId="77777777" w:rsidR="00D276F9" w:rsidRPr="007442D6" w:rsidRDefault="00D276F9" w:rsidP="00AE548C">
            <w:pPr>
              <w:rPr>
                <w:sz w:val="20"/>
                <w:szCs w:val="20"/>
              </w:rPr>
            </w:pPr>
            <w:r w:rsidRPr="007442D6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  <w:r w:rsidRPr="007442D6">
              <w:rPr>
                <w:sz w:val="20"/>
                <w:szCs w:val="20"/>
              </w:rPr>
              <w:t xml:space="preserve">  5.2. </w:t>
            </w:r>
            <w:r>
              <w:rPr>
                <w:sz w:val="20"/>
                <w:szCs w:val="20"/>
              </w:rPr>
              <w:t xml:space="preserve">Contratação administrativa – adjudicações por tipo de procedimento </w:t>
            </w:r>
            <w:r w:rsidRPr="007442D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6ECB295F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14B4BB46" w14:textId="77777777" w:rsidTr="00D276F9">
        <w:trPr>
          <w:jc w:val="center"/>
        </w:trPr>
        <w:tc>
          <w:tcPr>
            <w:tcW w:w="6516" w:type="dxa"/>
          </w:tcPr>
          <w:p w14:paraId="104D2033" w14:textId="77777777" w:rsidR="00D276F9" w:rsidRPr="007442D6" w:rsidRDefault="00D276F9" w:rsidP="00AE5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6.1. Transferências e subsídios concedidos</w:t>
            </w:r>
          </w:p>
        </w:tc>
        <w:tc>
          <w:tcPr>
            <w:tcW w:w="2268" w:type="dxa"/>
          </w:tcPr>
          <w:p w14:paraId="79D8FED2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4E8FEB7E" w14:textId="77777777" w:rsidTr="00D276F9">
        <w:trPr>
          <w:jc w:val="center"/>
        </w:trPr>
        <w:tc>
          <w:tcPr>
            <w:tcW w:w="6516" w:type="dxa"/>
          </w:tcPr>
          <w:p w14:paraId="74811F01" w14:textId="77777777" w:rsidR="00D276F9" w:rsidRPr="007442D6" w:rsidRDefault="00D276F9" w:rsidP="00AE54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6.2. Transferências e subsídios recebidos</w:t>
            </w:r>
          </w:p>
        </w:tc>
        <w:tc>
          <w:tcPr>
            <w:tcW w:w="2268" w:type="dxa"/>
          </w:tcPr>
          <w:p w14:paraId="188F5A82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45D25C51" w14:textId="77777777" w:rsidTr="00D276F9">
        <w:trPr>
          <w:jc w:val="center"/>
        </w:trPr>
        <w:tc>
          <w:tcPr>
            <w:tcW w:w="6516" w:type="dxa"/>
          </w:tcPr>
          <w:p w14:paraId="024A1872" w14:textId="77777777" w:rsidR="00D276F9" w:rsidRDefault="00D276F9" w:rsidP="00AE548C">
            <w:r>
              <w:rPr>
                <w:sz w:val="20"/>
                <w:szCs w:val="20"/>
              </w:rPr>
              <w:t xml:space="preserve">       </w:t>
            </w:r>
            <w:r w:rsidRPr="007442D6">
              <w:rPr>
                <w:sz w:val="20"/>
                <w:szCs w:val="20"/>
              </w:rPr>
              <w:t>7.  Outras divulgações</w:t>
            </w:r>
          </w:p>
        </w:tc>
        <w:tc>
          <w:tcPr>
            <w:tcW w:w="2268" w:type="dxa"/>
          </w:tcPr>
          <w:p w14:paraId="6F986E74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5459B664" w14:textId="77777777" w:rsidTr="00D276F9">
        <w:trPr>
          <w:jc w:val="center"/>
        </w:trPr>
        <w:tc>
          <w:tcPr>
            <w:tcW w:w="6516" w:type="dxa"/>
          </w:tcPr>
          <w:p w14:paraId="322C69DE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Divulgação do inventário de património</w:t>
            </w:r>
          </w:p>
        </w:tc>
        <w:tc>
          <w:tcPr>
            <w:tcW w:w="2268" w:type="dxa"/>
          </w:tcPr>
          <w:p w14:paraId="6CE62657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 w:rsidRPr="00407C34">
              <w:rPr>
                <w:sz w:val="21"/>
                <w:szCs w:val="21"/>
              </w:rPr>
              <w:t>NCP 26</w:t>
            </w:r>
          </w:p>
        </w:tc>
      </w:tr>
      <w:tr w:rsidR="00D276F9" w14:paraId="6F77DA19" w14:textId="77777777" w:rsidTr="00D276F9">
        <w:trPr>
          <w:jc w:val="center"/>
        </w:trPr>
        <w:tc>
          <w:tcPr>
            <w:tcW w:w="6516" w:type="dxa"/>
          </w:tcPr>
          <w:p w14:paraId="10B6EBA1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Dívidas a terceiros por antiguidade de saldos</w:t>
            </w:r>
          </w:p>
        </w:tc>
        <w:tc>
          <w:tcPr>
            <w:tcW w:w="2268" w:type="dxa"/>
          </w:tcPr>
          <w:p w14:paraId="547A3609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Norma Técnica 1/2017</w:t>
            </w:r>
          </w:p>
        </w:tc>
      </w:tr>
      <w:tr w:rsidR="00D276F9" w14:paraId="54C18938" w14:textId="77777777" w:rsidTr="00D276F9">
        <w:trPr>
          <w:jc w:val="center"/>
        </w:trPr>
        <w:tc>
          <w:tcPr>
            <w:tcW w:w="6516" w:type="dxa"/>
          </w:tcPr>
          <w:p w14:paraId="63F6E153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Encargos contratuais</w:t>
            </w:r>
          </w:p>
        </w:tc>
        <w:tc>
          <w:tcPr>
            <w:tcW w:w="2268" w:type="dxa"/>
          </w:tcPr>
          <w:p w14:paraId="112F0AE4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Norma Técnica 1/2017</w:t>
            </w:r>
          </w:p>
        </w:tc>
      </w:tr>
      <w:tr w:rsidR="00D276F9" w14:paraId="1AF4F541" w14:textId="77777777" w:rsidTr="00D276F9">
        <w:trPr>
          <w:jc w:val="center"/>
        </w:trPr>
        <w:tc>
          <w:tcPr>
            <w:tcW w:w="6516" w:type="dxa"/>
          </w:tcPr>
          <w:p w14:paraId="1FBA129F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Balancete analítico da contabilidade orçamental (classe 0) – mês 13</w:t>
            </w:r>
          </w:p>
        </w:tc>
        <w:tc>
          <w:tcPr>
            <w:tcW w:w="2268" w:type="dxa"/>
          </w:tcPr>
          <w:p w14:paraId="4069191B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Norma Técnica 1/2017</w:t>
            </w:r>
          </w:p>
        </w:tc>
      </w:tr>
      <w:tr w:rsidR="00D276F9" w14:paraId="3223423F" w14:textId="77777777" w:rsidTr="00D276F9">
        <w:trPr>
          <w:jc w:val="center"/>
        </w:trPr>
        <w:tc>
          <w:tcPr>
            <w:tcW w:w="6516" w:type="dxa"/>
          </w:tcPr>
          <w:p w14:paraId="42718D4A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Balancete analítico da contabilidade orçamental (classe 0) – mês 14</w:t>
            </w:r>
          </w:p>
        </w:tc>
        <w:tc>
          <w:tcPr>
            <w:tcW w:w="2268" w:type="dxa"/>
          </w:tcPr>
          <w:p w14:paraId="19461F16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Norma Técnica 1/2017</w:t>
            </w:r>
          </w:p>
        </w:tc>
      </w:tr>
      <w:tr w:rsidR="00D276F9" w14:paraId="3BCE5756" w14:textId="77777777" w:rsidTr="00D276F9">
        <w:trPr>
          <w:jc w:val="center"/>
        </w:trPr>
        <w:tc>
          <w:tcPr>
            <w:tcW w:w="6516" w:type="dxa"/>
          </w:tcPr>
          <w:p w14:paraId="0DB127A8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Outros</w:t>
            </w:r>
          </w:p>
        </w:tc>
        <w:tc>
          <w:tcPr>
            <w:tcW w:w="2268" w:type="dxa"/>
          </w:tcPr>
          <w:p w14:paraId="604B176B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D276F9" w14:paraId="6E5FC593" w14:textId="77777777" w:rsidTr="00D276F9">
        <w:trPr>
          <w:jc w:val="center"/>
        </w:trPr>
        <w:tc>
          <w:tcPr>
            <w:tcW w:w="6516" w:type="dxa"/>
          </w:tcPr>
          <w:p w14:paraId="75F9548E" w14:textId="77777777" w:rsidR="00D276F9" w:rsidRPr="000F6525" w:rsidRDefault="00D276F9" w:rsidP="00AE548C">
            <w:pPr>
              <w:rPr>
                <w:sz w:val="21"/>
                <w:szCs w:val="21"/>
              </w:rPr>
            </w:pPr>
            <w:r w:rsidRPr="000F6525">
              <w:rPr>
                <w:sz w:val="21"/>
                <w:szCs w:val="21"/>
              </w:rPr>
              <w:t>Correspondência entre o plano de contas central</w:t>
            </w:r>
          </w:p>
        </w:tc>
        <w:tc>
          <w:tcPr>
            <w:tcW w:w="2268" w:type="dxa"/>
          </w:tcPr>
          <w:p w14:paraId="792DD560" w14:textId="77777777" w:rsidR="00D276F9" w:rsidRPr="000F6525" w:rsidRDefault="00D276F9" w:rsidP="00AE5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Norma Técnica 1/2017</w:t>
            </w:r>
          </w:p>
        </w:tc>
      </w:tr>
    </w:tbl>
    <w:p w14:paraId="2729F77B" w14:textId="0177D803" w:rsidR="0017305C" w:rsidRDefault="00AA0D32" w:rsidP="005C2078">
      <w:pPr>
        <w:pStyle w:val="Heading1"/>
        <w:numPr>
          <w:ilvl w:val="0"/>
          <w:numId w:val="17"/>
        </w:numPr>
        <w:rPr>
          <w:b/>
          <w:bCs/>
          <w:sz w:val="26"/>
          <w:szCs w:val="26"/>
        </w:rPr>
      </w:pPr>
      <w:bookmarkStart w:id="6" w:name="_Toc75342185"/>
      <w:r w:rsidRPr="00AA0D32">
        <w:rPr>
          <w:b/>
          <w:bCs/>
          <w:sz w:val="26"/>
          <w:szCs w:val="26"/>
        </w:rPr>
        <w:lastRenderedPageBreak/>
        <w:t>CONCLUSÃO</w:t>
      </w:r>
      <w:bookmarkEnd w:id="6"/>
    </w:p>
    <w:p w14:paraId="6DA68D1B" w14:textId="2980307C" w:rsidR="00902E4A" w:rsidRDefault="00902E4A" w:rsidP="00902E4A"/>
    <w:p w14:paraId="35D0C4D0" w14:textId="3AFC90D1" w:rsidR="00902E4A" w:rsidRDefault="00942004" w:rsidP="00942004">
      <w:pPr>
        <w:spacing w:line="360" w:lineRule="auto"/>
        <w:jc w:val="both"/>
      </w:pPr>
      <w:r>
        <w:t xml:space="preserve">Nesta síntese foram apresentados os aspetos mais relevantes do Regime Simplificado, quando aplicado às Pequenas Entidades e às </w:t>
      </w:r>
      <w:proofErr w:type="spellStart"/>
      <w:r>
        <w:t>Microentidades</w:t>
      </w:r>
      <w:proofErr w:type="spellEnd"/>
      <w:r w:rsidR="00AB6092">
        <w:t xml:space="preserve">, uma vez que o artigo 5º do Decreto-Lei n.º 192/2015, de 11 de setembro, estabelece que as entidades de menor dimensão e risco orçamental podem beneficiar de um regime simplificado de contabilidade pública. Na sequência </w:t>
      </w:r>
      <w:r w:rsidR="002A01D4">
        <w:t>dessa disposição, foi publicada a Portaria n.º 218/2016, de 9 de agosto, que contém as normas orientadoras para estas entidades.</w:t>
      </w:r>
    </w:p>
    <w:p w14:paraId="305C6D42" w14:textId="78B848AE" w:rsidR="001575AA" w:rsidRDefault="001575AA" w:rsidP="001575AA">
      <w:pPr>
        <w:spacing w:line="360" w:lineRule="auto"/>
        <w:jc w:val="both"/>
      </w:pPr>
      <w:r>
        <w:t>Nos termos do artigo 5.º da Portaria n.º 218/2016, de 9 de agosto, o regime simplificado para as Pequenas Entidades é composto por:</w:t>
      </w:r>
    </w:p>
    <w:p w14:paraId="73936D1A" w14:textId="43852393" w:rsidR="001575AA" w:rsidRPr="001575AA" w:rsidRDefault="001575AA" w:rsidP="001575AA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575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Norma de Contabilidade Pública - Pequenas Entidades (NCP-PE), </w:t>
      </w:r>
      <w:r w:rsidR="0092682B">
        <w:rPr>
          <w:rFonts w:asciiTheme="minorHAnsi" w:eastAsiaTheme="minorHAnsi" w:hAnsiTheme="minorHAnsi" w:cstheme="minorBidi"/>
          <w:sz w:val="22"/>
          <w:szCs w:val="22"/>
          <w:lang w:eastAsia="en-US"/>
        </w:rPr>
        <w:t>publicada</w:t>
      </w:r>
      <w:r w:rsidRPr="001575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em Anexo à</w:t>
      </w:r>
      <w:r w:rsidR="0092682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2682B" w:rsidRPr="0092682B">
        <w:rPr>
          <w:rFonts w:asciiTheme="minorHAnsi" w:eastAsiaTheme="minorHAnsi" w:hAnsiTheme="minorHAnsi" w:cstheme="minorBidi"/>
          <w:sz w:val="22"/>
          <w:szCs w:val="22"/>
          <w:lang w:eastAsia="en-US"/>
        </w:rPr>
        <w:t>Portaria n.º 218/2016, de 9 de agosto</w:t>
      </w:r>
      <w:r w:rsidRPr="001575AA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</w:p>
    <w:p w14:paraId="79CD6159" w14:textId="698E426F" w:rsidR="001575AA" w:rsidRPr="001575AA" w:rsidRDefault="001575AA" w:rsidP="001575AA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575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Norma de Contabilidade Pública 26 - Contabilidade e Relato Orçamental e Norma de Contabilidade Pública 27 - Contabilidade de Gestão, constantes do Anexo II do </w:t>
      </w:r>
      <w:hyperlink r:id="rId9" w:tgtFrame="_blank" w:tooltip="Decreto-Lei n.º 192/2015" w:history="1">
        <w:r w:rsidRPr="001575AA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Decreto-Lei n.º 192/2015</w:t>
        </w:r>
      </w:hyperlink>
      <w:r w:rsidRPr="001575AA">
        <w:rPr>
          <w:rFonts w:asciiTheme="minorHAnsi" w:eastAsiaTheme="minorHAnsi" w:hAnsiTheme="minorHAnsi" w:cstheme="minorBidi"/>
          <w:sz w:val="22"/>
          <w:szCs w:val="22"/>
          <w:lang w:eastAsia="en-US"/>
        </w:rPr>
        <w:t>, de 11 de setembro;</w:t>
      </w:r>
    </w:p>
    <w:p w14:paraId="571C8A8B" w14:textId="7CF0F691" w:rsidR="001575AA" w:rsidRPr="001575AA" w:rsidRDefault="001575AA" w:rsidP="001575AA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575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Plano de Contas Multidimensional (PCM), que constitui o Anexo III referido no artigo 2.º do </w:t>
      </w:r>
      <w:hyperlink r:id="rId10" w:tgtFrame="_blank" w:tooltip="Decreto-Lei n.º 192/2015" w:history="1">
        <w:r w:rsidRPr="001575AA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Decreto-Lei n.º 192/2015</w:t>
        </w:r>
      </w:hyperlink>
      <w:r w:rsidRPr="001575AA">
        <w:rPr>
          <w:rFonts w:asciiTheme="minorHAnsi" w:eastAsiaTheme="minorHAnsi" w:hAnsiTheme="minorHAnsi" w:cstheme="minorBidi"/>
          <w:sz w:val="22"/>
          <w:szCs w:val="22"/>
          <w:lang w:eastAsia="en-US"/>
        </w:rPr>
        <w:t>, de 11 de setembro.</w:t>
      </w:r>
    </w:p>
    <w:p w14:paraId="1B18307E" w14:textId="77777777" w:rsidR="001575AA" w:rsidRDefault="001575AA" w:rsidP="00F10212">
      <w:pPr>
        <w:spacing w:after="0" w:line="240" w:lineRule="auto"/>
        <w:jc w:val="both"/>
      </w:pPr>
    </w:p>
    <w:p w14:paraId="0279C786" w14:textId="082F7511" w:rsidR="008D6379" w:rsidRDefault="008D6379" w:rsidP="00F10212">
      <w:pPr>
        <w:spacing w:after="0" w:line="360" w:lineRule="auto"/>
        <w:jc w:val="both"/>
      </w:pPr>
      <w:r>
        <w:t xml:space="preserve">Nos termos do artigo 6º da Portaria n.º 218/2016, de 9 de agosto, o regime simplificado para as </w:t>
      </w:r>
      <w:proofErr w:type="spellStart"/>
      <w:r>
        <w:t>Microentidades</w:t>
      </w:r>
      <w:proofErr w:type="spellEnd"/>
      <w:r>
        <w:t xml:space="preserve"> é composto por:</w:t>
      </w:r>
    </w:p>
    <w:p w14:paraId="70D21104" w14:textId="77777777" w:rsidR="008D6379" w:rsidRPr="008D6379" w:rsidRDefault="008D6379" w:rsidP="008D6379">
      <w:pPr>
        <w:pStyle w:val="NormalWeb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637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a) Norma de Contabilidade Pública 26 - Contabilidade e Relato Orçamental, a qual integra o Anexo II referido no artigo 2.º do </w:t>
      </w:r>
      <w:hyperlink r:id="rId11" w:tgtFrame="_blank" w:tooltip="Decreto-Lei n.º 192/2015" w:history="1">
        <w:r w:rsidRPr="008D6379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Decreto-Lei n.º 192/2015</w:t>
        </w:r>
      </w:hyperlink>
      <w:r w:rsidRPr="008D6379">
        <w:rPr>
          <w:rFonts w:asciiTheme="minorHAnsi" w:eastAsiaTheme="minorHAnsi" w:hAnsiTheme="minorHAnsi" w:cstheme="minorBidi"/>
          <w:sz w:val="22"/>
          <w:szCs w:val="22"/>
          <w:lang w:eastAsia="en-US"/>
        </w:rPr>
        <w:t>, de 11 de setembro;</w:t>
      </w:r>
    </w:p>
    <w:p w14:paraId="45E3B3C6" w14:textId="77777777" w:rsidR="008D6379" w:rsidRPr="008D6379" w:rsidRDefault="008D6379" w:rsidP="001575AA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6379">
        <w:rPr>
          <w:rFonts w:asciiTheme="minorHAnsi" w:eastAsiaTheme="minorHAnsi" w:hAnsiTheme="minorHAnsi" w:cstheme="minorBidi"/>
          <w:sz w:val="22"/>
          <w:szCs w:val="22"/>
          <w:lang w:eastAsia="en-US"/>
        </w:rPr>
        <w:t>b) Divulgação do inventário do património.</w:t>
      </w:r>
    </w:p>
    <w:p w14:paraId="15CEE09A" w14:textId="55D77912" w:rsidR="00942004" w:rsidRDefault="008D6379" w:rsidP="001575AA">
      <w:pPr>
        <w:spacing w:after="0" w:line="240" w:lineRule="auto"/>
        <w:jc w:val="both"/>
      </w:pPr>
      <w:r>
        <w:t xml:space="preserve"> </w:t>
      </w:r>
    </w:p>
    <w:p w14:paraId="6B230ED2" w14:textId="77777777" w:rsidR="001575AA" w:rsidRDefault="001575AA"/>
    <w:p w14:paraId="1E063228" w14:textId="261E1547" w:rsidR="00902E4A" w:rsidRDefault="00902E4A">
      <w:r>
        <w:br w:type="page"/>
      </w:r>
    </w:p>
    <w:p w14:paraId="020DE68A" w14:textId="06A2E5A7" w:rsidR="00902E4A" w:rsidRDefault="00902E4A" w:rsidP="00902E4A">
      <w:pPr>
        <w:pStyle w:val="Heading1"/>
        <w:numPr>
          <w:ilvl w:val="0"/>
          <w:numId w:val="17"/>
        </w:numPr>
        <w:rPr>
          <w:b/>
          <w:bCs/>
          <w:sz w:val="26"/>
          <w:szCs w:val="26"/>
        </w:rPr>
      </w:pPr>
      <w:bookmarkStart w:id="7" w:name="_Toc75342186"/>
      <w:r>
        <w:rPr>
          <w:b/>
          <w:bCs/>
          <w:sz w:val="26"/>
          <w:szCs w:val="26"/>
        </w:rPr>
        <w:lastRenderedPageBreak/>
        <w:t>BIBLIOGRAFIA</w:t>
      </w:r>
      <w:bookmarkEnd w:id="7"/>
    </w:p>
    <w:p w14:paraId="3250E3F4" w14:textId="6445C887" w:rsidR="00902E4A" w:rsidRDefault="00902E4A" w:rsidP="00902E4A"/>
    <w:p w14:paraId="53B2DB04" w14:textId="4962B768" w:rsidR="00B87BFC" w:rsidRPr="00B87BFC" w:rsidRDefault="00B87BFC" w:rsidP="00B87BFC">
      <w:pPr>
        <w:jc w:val="both"/>
        <w:rPr>
          <w:color w:val="222A35" w:themeColor="text2" w:themeShade="80"/>
        </w:rPr>
      </w:pPr>
      <w:r w:rsidRPr="00B87BFC">
        <w:rPr>
          <w:color w:val="222A35" w:themeColor="text2" w:themeShade="80"/>
        </w:rPr>
        <w:t xml:space="preserve">Decreto-Lei n.º 192/2015, de 11 de setembro </w:t>
      </w:r>
      <w:r>
        <w:rPr>
          <w:color w:val="222A35" w:themeColor="text2" w:themeShade="80"/>
        </w:rPr>
        <w:t>que aprova o Sistema de Normalização Contabilística para as Administrações Públicas (SNC-AP);</w:t>
      </w:r>
    </w:p>
    <w:p w14:paraId="02288777" w14:textId="2838A947" w:rsidR="00B87BFC" w:rsidRPr="00B87BFC" w:rsidRDefault="00B87BFC" w:rsidP="00B87BFC">
      <w:pPr>
        <w:jc w:val="both"/>
        <w:rPr>
          <w:color w:val="222A35" w:themeColor="text2" w:themeShade="80"/>
        </w:rPr>
      </w:pPr>
      <w:r w:rsidRPr="00B87BFC">
        <w:rPr>
          <w:color w:val="222A35" w:themeColor="text2" w:themeShade="80"/>
        </w:rPr>
        <w:t xml:space="preserve">Decreto-Lei n.º 85/2016, de 21 de dezembro </w:t>
      </w:r>
      <w:r>
        <w:rPr>
          <w:color w:val="222A35" w:themeColor="text2" w:themeShade="80"/>
        </w:rPr>
        <w:t xml:space="preserve">que altera </w:t>
      </w:r>
      <w:r w:rsidR="00997885">
        <w:rPr>
          <w:color w:val="222A35" w:themeColor="text2" w:themeShade="80"/>
        </w:rPr>
        <w:t>o regime da administração financeira do Estado e do Sistema de Normalização Contabilística para as Administrações Públicas;</w:t>
      </w:r>
    </w:p>
    <w:p w14:paraId="14A5BA61" w14:textId="4FB0787D" w:rsidR="00B87BFC" w:rsidRPr="00B87BFC" w:rsidRDefault="00B87BFC" w:rsidP="00B87BFC">
      <w:pPr>
        <w:jc w:val="both"/>
        <w:rPr>
          <w:color w:val="222A35" w:themeColor="text2" w:themeShade="80"/>
        </w:rPr>
      </w:pPr>
      <w:r w:rsidRPr="00B87BFC">
        <w:rPr>
          <w:color w:val="222A35" w:themeColor="text2" w:themeShade="80"/>
        </w:rPr>
        <w:t xml:space="preserve">Portaria n.º 218/2016, de 09 de agosto </w:t>
      </w:r>
      <w:r w:rsidR="00997885">
        <w:rPr>
          <w:color w:val="222A35" w:themeColor="text2" w:themeShade="80"/>
        </w:rPr>
        <w:t>que concretiza o Regime Simplificado do Sistema de Normalização Contabilística para as Administrações Públicas;</w:t>
      </w:r>
    </w:p>
    <w:p w14:paraId="642AC86B" w14:textId="38DA2690" w:rsidR="00902E4A" w:rsidRPr="00B87BFC" w:rsidRDefault="00B87BFC" w:rsidP="00B87BFC">
      <w:pPr>
        <w:jc w:val="both"/>
        <w:rPr>
          <w:color w:val="222A35" w:themeColor="text2" w:themeShade="80"/>
        </w:rPr>
      </w:pPr>
      <w:r w:rsidRPr="00B87BFC">
        <w:rPr>
          <w:color w:val="222A35" w:themeColor="text2" w:themeShade="80"/>
        </w:rPr>
        <w:t xml:space="preserve">Instrução nº 1-2019 do Tribunal de Contas </w:t>
      </w:r>
      <w:r w:rsidR="00395E1C">
        <w:rPr>
          <w:color w:val="222A35" w:themeColor="text2" w:themeShade="80"/>
        </w:rPr>
        <w:t xml:space="preserve">- </w:t>
      </w:r>
      <w:r w:rsidR="00395E1C" w:rsidRPr="00395E1C">
        <w:rPr>
          <w:color w:val="222A35" w:themeColor="text2" w:themeShade="80"/>
        </w:rPr>
        <w:t>Plenário Geral, bem como os respetivos anexos e modelos de mapas de prestação de contas das entidades sujeitas à jurisdição e aos poderes de controlo do Tribunal de Contas (TC)</w:t>
      </w:r>
      <w:r w:rsidR="00395E1C">
        <w:rPr>
          <w:color w:val="222A35" w:themeColor="text2" w:themeShade="80"/>
        </w:rPr>
        <w:t>.</w:t>
      </w:r>
    </w:p>
    <w:p w14:paraId="2CC2D69D" w14:textId="77777777" w:rsidR="00902E4A" w:rsidRPr="00902E4A" w:rsidRDefault="00902E4A" w:rsidP="00B87BFC">
      <w:pPr>
        <w:jc w:val="both"/>
      </w:pPr>
    </w:p>
    <w:p w14:paraId="7D19A95B" w14:textId="77777777" w:rsidR="00AA0D32" w:rsidRPr="00AA0D32" w:rsidRDefault="00AA0D32" w:rsidP="00AA0D32">
      <w:pPr>
        <w:spacing w:line="360" w:lineRule="auto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</w:p>
    <w:sectPr w:rsidR="00AA0D32" w:rsidRPr="00AA0D32" w:rsidSect="00FC65EF"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6BC10" w14:textId="77777777" w:rsidR="00A7509D" w:rsidRDefault="00A7509D" w:rsidP="00FC65EF">
      <w:pPr>
        <w:spacing w:after="0" w:line="240" w:lineRule="auto"/>
      </w:pPr>
      <w:r>
        <w:separator/>
      </w:r>
    </w:p>
  </w:endnote>
  <w:endnote w:type="continuationSeparator" w:id="0">
    <w:p w14:paraId="747043DE" w14:textId="77777777" w:rsidR="00A7509D" w:rsidRDefault="00A7509D" w:rsidP="00FC6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GDT_IV25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262626" w:themeColor="text1" w:themeTint="D9"/>
      </w:rPr>
      <w:id w:val="-680971800"/>
      <w:docPartObj>
        <w:docPartGallery w:val="Page Numbers (Bottom of Page)"/>
        <w:docPartUnique/>
      </w:docPartObj>
    </w:sdtPr>
    <w:sdtEndPr>
      <w:rPr>
        <w:noProof/>
        <w:color w:val="44546A" w:themeColor="text2"/>
      </w:rPr>
    </w:sdtEndPr>
    <w:sdtContent>
      <w:p w14:paraId="5E3035DD" w14:textId="6765AF0F" w:rsidR="00F83D51" w:rsidRPr="00F83D51" w:rsidRDefault="00F83D51">
        <w:pPr>
          <w:pStyle w:val="Footer"/>
          <w:jc w:val="right"/>
          <w:rPr>
            <w:color w:val="44546A" w:themeColor="text2"/>
          </w:rPr>
        </w:pPr>
        <w:r w:rsidRPr="00F83D51">
          <w:rPr>
            <w:color w:val="44546A" w:themeColor="text2"/>
          </w:rPr>
          <w:fldChar w:fldCharType="begin"/>
        </w:r>
        <w:r w:rsidRPr="00F83D51">
          <w:rPr>
            <w:color w:val="44546A" w:themeColor="text2"/>
          </w:rPr>
          <w:instrText xml:space="preserve"> PAGE   \* MERGEFORMAT </w:instrText>
        </w:r>
        <w:r w:rsidRPr="00F83D51">
          <w:rPr>
            <w:color w:val="44546A" w:themeColor="text2"/>
          </w:rPr>
          <w:fldChar w:fldCharType="separate"/>
        </w:r>
        <w:r w:rsidR="00BE3AF9">
          <w:rPr>
            <w:noProof/>
            <w:color w:val="44546A" w:themeColor="text2"/>
          </w:rPr>
          <w:t>1</w:t>
        </w:r>
        <w:r w:rsidRPr="00F83D51">
          <w:rPr>
            <w:noProof/>
            <w:color w:val="44546A" w:themeColor="text2"/>
          </w:rPr>
          <w:fldChar w:fldCharType="end"/>
        </w:r>
      </w:p>
    </w:sdtContent>
  </w:sdt>
  <w:p w14:paraId="79898E97" w14:textId="77777777" w:rsidR="00F83D51" w:rsidRDefault="00F83D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62327" w14:textId="77777777" w:rsidR="00A7509D" w:rsidRDefault="00A7509D" w:rsidP="00FC65EF">
      <w:pPr>
        <w:spacing w:after="0" w:line="240" w:lineRule="auto"/>
      </w:pPr>
      <w:r>
        <w:separator/>
      </w:r>
    </w:p>
  </w:footnote>
  <w:footnote w:type="continuationSeparator" w:id="0">
    <w:p w14:paraId="2AA62CA4" w14:textId="77777777" w:rsidR="00A7509D" w:rsidRDefault="00A7509D" w:rsidP="00FC65EF">
      <w:pPr>
        <w:spacing w:after="0" w:line="240" w:lineRule="auto"/>
      </w:pPr>
      <w:r>
        <w:continuationSeparator/>
      </w:r>
    </w:p>
  </w:footnote>
  <w:footnote w:id="1">
    <w:p w14:paraId="11647B35" w14:textId="592401B3" w:rsidR="00D81B36" w:rsidRPr="00473C00" w:rsidRDefault="00D81B36">
      <w:pPr>
        <w:pStyle w:val="FootnoteText"/>
        <w:rPr>
          <w:color w:val="808080" w:themeColor="background1" w:themeShade="80"/>
          <w:sz w:val="18"/>
          <w:szCs w:val="18"/>
        </w:rPr>
      </w:pPr>
      <w:r w:rsidRPr="00473C00">
        <w:rPr>
          <w:rStyle w:val="FootnoteReference"/>
        </w:rPr>
        <w:footnoteRef/>
      </w:r>
      <w:r w:rsidRPr="00473C00">
        <w:rPr>
          <w:rStyle w:val="FootnoteReference"/>
        </w:rPr>
        <w:t xml:space="preserve"> </w:t>
      </w:r>
      <w:r w:rsidRPr="00473C00">
        <w:rPr>
          <w:color w:val="808080" w:themeColor="background1" w:themeShade="80"/>
          <w:sz w:val="16"/>
          <w:szCs w:val="16"/>
        </w:rPr>
        <w:t>Sistema de Normalização Contabilística para as Administrações Públicas</w:t>
      </w:r>
    </w:p>
  </w:footnote>
  <w:footnote w:id="2">
    <w:p w14:paraId="5E4D74E9" w14:textId="2911BAEF" w:rsidR="00087836" w:rsidRPr="00473C00" w:rsidRDefault="00087836">
      <w:pPr>
        <w:pStyle w:val="FootnoteText"/>
        <w:rPr>
          <w:color w:val="808080" w:themeColor="background1" w:themeShade="80"/>
          <w:sz w:val="18"/>
          <w:szCs w:val="18"/>
        </w:rPr>
      </w:pPr>
      <w:r w:rsidRPr="00473C00">
        <w:rPr>
          <w:rStyle w:val="FootnoteReference"/>
        </w:rPr>
        <w:footnoteRef/>
      </w:r>
      <w:r w:rsidRPr="00473C00">
        <w:rPr>
          <w:rStyle w:val="FootnoteReference"/>
        </w:rPr>
        <w:t xml:space="preserve"> </w:t>
      </w:r>
      <w:r w:rsidRPr="00473C00">
        <w:rPr>
          <w:color w:val="808080" w:themeColor="background1" w:themeShade="80"/>
          <w:sz w:val="16"/>
          <w:szCs w:val="16"/>
        </w:rPr>
        <w:t>Norma de Contabilidade Pública</w:t>
      </w:r>
    </w:p>
  </w:footnote>
  <w:footnote w:id="3">
    <w:p w14:paraId="127C1361" w14:textId="011B0205" w:rsidR="007B3D3F" w:rsidRPr="00473C00" w:rsidRDefault="007B3D3F">
      <w:pPr>
        <w:pStyle w:val="FootnoteText"/>
        <w:rPr>
          <w:color w:val="808080" w:themeColor="background1" w:themeShade="80"/>
          <w:sz w:val="18"/>
          <w:szCs w:val="18"/>
        </w:rPr>
      </w:pPr>
      <w:r w:rsidRPr="00473C00">
        <w:rPr>
          <w:rStyle w:val="FootnoteReference"/>
        </w:rPr>
        <w:footnoteRef/>
      </w:r>
      <w:r w:rsidRPr="00473C00">
        <w:rPr>
          <w:rStyle w:val="FootnoteReference"/>
        </w:rPr>
        <w:t xml:space="preserve">  </w:t>
      </w:r>
      <w:r w:rsidR="00CF460C" w:rsidRPr="00473C00">
        <w:rPr>
          <w:color w:val="808080" w:themeColor="background1" w:themeShade="80"/>
          <w:sz w:val="16"/>
          <w:szCs w:val="16"/>
        </w:rPr>
        <w:t xml:space="preserve">Fonte: </w:t>
      </w:r>
      <w:r w:rsidRPr="00473C00">
        <w:rPr>
          <w:color w:val="808080" w:themeColor="background1" w:themeShade="80"/>
          <w:sz w:val="16"/>
          <w:szCs w:val="16"/>
        </w:rPr>
        <w:t>http://www.cnc.min-financas.pt/faqs_publico.html</w:t>
      </w:r>
    </w:p>
  </w:footnote>
  <w:footnote w:id="4">
    <w:p w14:paraId="2B16D180" w14:textId="341E781E" w:rsidR="00473C00" w:rsidRDefault="00473C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87836">
        <w:rPr>
          <w:color w:val="808080" w:themeColor="background1" w:themeShade="80"/>
          <w:sz w:val="16"/>
          <w:szCs w:val="16"/>
        </w:rPr>
        <w:t>Fonte</w:t>
      </w:r>
      <w:r w:rsidRPr="00CF460C">
        <w:rPr>
          <w:color w:val="808080" w:themeColor="background1" w:themeShade="80"/>
          <w:sz w:val="16"/>
          <w:szCs w:val="16"/>
        </w:rPr>
        <w:t>:</w:t>
      </w:r>
      <w:r>
        <w:rPr>
          <w:color w:val="808080" w:themeColor="background1" w:themeShade="80"/>
          <w:sz w:val="16"/>
          <w:szCs w:val="16"/>
        </w:rPr>
        <w:t xml:space="preserve"> </w:t>
      </w:r>
      <w:r w:rsidRPr="007B3D3F">
        <w:rPr>
          <w:color w:val="808080" w:themeColor="background1" w:themeShade="80"/>
          <w:sz w:val="16"/>
          <w:szCs w:val="16"/>
        </w:rPr>
        <w:t>http://www.cnc.min-financas.pt/faqs_publico.html</w:t>
      </w:r>
    </w:p>
  </w:footnote>
  <w:footnote w:id="5">
    <w:p w14:paraId="02BEF122" w14:textId="7D287D93" w:rsidR="0017305C" w:rsidRDefault="0017305C" w:rsidP="0017305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17305C">
        <w:rPr>
          <w:color w:val="808080" w:themeColor="background1" w:themeShade="80"/>
          <w:sz w:val="16"/>
          <w:szCs w:val="16"/>
        </w:rPr>
        <w:t>Fonte: https://dre.pt/application/file/a/120464240. A Instrução n.º 1/2019 do Tribunal de Contas, publicada no Diário da República, 2.ª série, N.º 46, de 6 de março de 2019</w:t>
      </w:r>
      <w:r w:rsidR="00800FAF">
        <w:rPr>
          <w:color w:val="808080" w:themeColor="background1" w:themeShade="80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37795" w14:textId="625D8E72" w:rsidR="00FC65EF" w:rsidRDefault="00FC65EF">
    <w:pPr>
      <w:pStyle w:val="Head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3A2EA805" wp14:editId="6D56BCB0">
          <wp:simplePos x="0" y="0"/>
          <wp:positionH relativeFrom="column">
            <wp:posOffset>-666750</wp:posOffset>
          </wp:positionH>
          <wp:positionV relativeFrom="paragraph">
            <wp:posOffset>-372110</wp:posOffset>
          </wp:positionV>
          <wp:extent cx="1219200" cy="1016000"/>
          <wp:effectExtent l="0" t="0" r="0" b="0"/>
          <wp:wrapSquare wrapText="bothSides"/>
          <wp:docPr id="10" name="Picture 9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5AAA7A3-3817-4C0A-8D24-477E599351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C5AAA7A3-3817-4C0A-8D24-477E599351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756CA"/>
    <w:multiLevelType w:val="hybridMultilevel"/>
    <w:tmpl w:val="DEA4E11A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21890"/>
    <w:multiLevelType w:val="hybridMultilevel"/>
    <w:tmpl w:val="F7AAF536"/>
    <w:lvl w:ilvl="0" w:tplc="DF7E82B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40ED0"/>
    <w:multiLevelType w:val="hybridMultilevel"/>
    <w:tmpl w:val="DEA4E11A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26F0"/>
    <w:multiLevelType w:val="hybridMultilevel"/>
    <w:tmpl w:val="A6E2C074"/>
    <w:lvl w:ilvl="0" w:tplc="4CF61178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597A6C"/>
    <w:multiLevelType w:val="hybridMultilevel"/>
    <w:tmpl w:val="5BE24B8A"/>
    <w:lvl w:ilvl="0" w:tplc="3662DA0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37B44"/>
    <w:multiLevelType w:val="hybridMultilevel"/>
    <w:tmpl w:val="446AFC08"/>
    <w:lvl w:ilvl="0" w:tplc="CD5CF4B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C2C37"/>
    <w:multiLevelType w:val="hybridMultilevel"/>
    <w:tmpl w:val="52F4B5A4"/>
    <w:lvl w:ilvl="0" w:tplc="CA188A08">
      <w:start w:val="1"/>
      <w:numFmt w:val="bullet"/>
      <w:lvlText w:val="o"/>
      <w:lvlJc w:val="left"/>
      <w:pPr>
        <w:ind w:left="360" w:hanging="360"/>
      </w:pPr>
      <w:rPr>
        <w:rFonts w:ascii="AMGDT_IV25" w:hAnsi="AMGDT_IV25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FA348F"/>
    <w:multiLevelType w:val="hybridMultilevel"/>
    <w:tmpl w:val="464653F2"/>
    <w:lvl w:ilvl="0" w:tplc="CA188A08">
      <w:start w:val="1"/>
      <w:numFmt w:val="bullet"/>
      <w:lvlText w:val="o"/>
      <w:lvlJc w:val="left"/>
      <w:pPr>
        <w:ind w:left="360" w:hanging="360"/>
      </w:pPr>
      <w:rPr>
        <w:rFonts w:ascii="AMGDT_IV25" w:hAnsi="AMGDT_IV25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448E0"/>
    <w:multiLevelType w:val="hybridMultilevel"/>
    <w:tmpl w:val="4A7E43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45B8A"/>
    <w:multiLevelType w:val="hybridMultilevel"/>
    <w:tmpl w:val="27BC9B6C"/>
    <w:lvl w:ilvl="0" w:tplc="FA6CB18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23D01"/>
    <w:multiLevelType w:val="hybridMultilevel"/>
    <w:tmpl w:val="6E24C356"/>
    <w:lvl w:ilvl="0" w:tplc="08160015">
      <w:start w:val="1"/>
      <w:numFmt w:val="upperLetter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C95461"/>
    <w:multiLevelType w:val="hybridMultilevel"/>
    <w:tmpl w:val="FFA295D2"/>
    <w:lvl w:ilvl="0" w:tplc="A69C3BA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C6975"/>
    <w:multiLevelType w:val="hybridMultilevel"/>
    <w:tmpl w:val="42949030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D362A"/>
    <w:multiLevelType w:val="hybridMultilevel"/>
    <w:tmpl w:val="38103C7C"/>
    <w:lvl w:ilvl="0" w:tplc="FA6CB18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F0A31"/>
    <w:multiLevelType w:val="hybridMultilevel"/>
    <w:tmpl w:val="66207110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51BD3"/>
    <w:multiLevelType w:val="hybridMultilevel"/>
    <w:tmpl w:val="21B6A2B2"/>
    <w:lvl w:ilvl="0" w:tplc="DCFC6B70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54F5F"/>
    <w:multiLevelType w:val="hybridMultilevel"/>
    <w:tmpl w:val="42949030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819D4"/>
    <w:multiLevelType w:val="hybridMultilevel"/>
    <w:tmpl w:val="221630AA"/>
    <w:lvl w:ilvl="0" w:tplc="08160019">
      <w:start w:val="1"/>
      <w:numFmt w:val="lowerLetter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535047"/>
    <w:multiLevelType w:val="hybridMultilevel"/>
    <w:tmpl w:val="883011BC"/>
    <w:lvl w:ilvl="0" w:tplc="CA188A08">
      <w:start w:val="1"/>
      <w:numFmt w:val="bullet"/>
      <w:lvlText w:val="o"/>
      <w:lvlJc w:val="left"/>
      <w:pPr>
        <w:ind w:left="360" w:hanging="360"/>
      </w:pPr>
      <w:rPr>
        <w:rFonts w:ascii="AMGDT_IV25" w:hAnsi="AMGDT_IV25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6E6A03"/>
    <w:multiLevelType w:val="hybridMultilevel"/>
    <w:tmpl w:val="27E26CF6"/>
    <w:lvl w:ilvl="0" w:tplc="0C3A5110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16164"/>
    <w:multiLevelType w:val="hybridMultilevel"/>
    <w:tmpl w:val="DEA4E11A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603F9"/>
    <w:multiLevelType w:val="hybridMultilevel"/>
    <w:tmpl w:val="C1067472"/>
    <w:lvl w:ilvl="0" w:tplc="0816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7003B3"/>
    <w:multiLevelType w:val="hybridMultilevel"/>
    <w:tmpl w:val="DEA4E11A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302BAF"/>
    <w:multiLevelType w:val="hybridMultilevel"/>
    <w:tmpl w:val="F82A258C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1A212D"/>
    <w:multiLevelType w:val="hybridMultilevel"/>
    <w:tmpl w:val="419C623E"/>
    <w:lvl w:ilvl="0" w:tplc="F1980D2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F79F1"/>
    <w:multiLevelType w:val="hybridMultilevel"/>
    <w:tmpl w:val="E12E2212"/>
    <w:lvl w:ilvl="0" w:tplc="E34A1312">
      <w:start w:val="5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64D7C"/>
    <w:multiLevelType w:val="hybridMultilevel"/>
    <w:tmpl w:val="8DF6814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1"/>
  </w:num>
  <w:num w:numId="4">
    <w:abstractNumId w:val="5"/>
  </w:num>
  <w:num w:numId="5">
    <w:abstractNumId w:val="15"/>
  </w:num>
  <w:num w:numId="6">
    <w:abstractNumId w:val="1"/>
  </w:num>
  <w:num w:numId="7">
    <w:abstractNumId w:val="4"/>
  </w:num>
  <w:num w:numId="8">
    <w:abstractNumId w:val="3"/>
  </w:num>
  <w:num w:numId="9">
    <w:abstractNumId w:val="19"/>
  </w:num>
  <w:num w:numId="10">
    <w:abstractNumId w:val="7"/>
  </w:num>
  <w:num w:numId="11">
    <w:abstractNumId w:val="9"/>
  </w:num>
  <w:num w:numId="12">
    <w:abstractNumId w:val="13"/>
  </w:num>
  <w:num w:numId="13">
    <w:abstractNumId w:val="6"/>
  </w:num>
  <w:num w:numId="14">
    <w:abstractNumId w:val="23"/>
  </w:num>
  <w:num w:numId="15">
    <w:abstractNumId w:val="24"/>
  </w:num>
  <w:num w:numId="16">
    <w:abstractNumId w:val="10"/>
  </w:num>
  <w:num w:numId="17">
    <w:abstractNumId w:val="0"/>
  </w:num>
  <w:num w:numId="18">
    <w:abstractNumId w:val="14"/>
  </w:num>
  <w:num w:numId="19">
    <w:abstractNumId w:val="21"/>
  </w:num>
  <w:num w:numId="20">
    <w:abstractNumId w:val="2"/>
  </w:num>
  <w:num w:numId="21">
    <w:abstractNumId w:val="12"/>
  </w:num>
  <w:num w:numId="22">
    <w:abstractNumId w:val="16"/>
  </w:num>
  <w:num w:numId="23">
    <w:abstractNumId w:val="8"/>
  </w:num>
  <w:num w:numId="24">
    <w:abstractNumId w:val="22"/>
  </w:num>
  <w:num w:numId="25">
    <w:abstractNumId w:val="20"/>
  </w:num>
  <w:num w:numId="26">
    <w:abstractNumId w:val="2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5EF"/>
    <w:rsid w:val="00030132"/>
    <w:rsid w:val="00056C36"/>
    <w:rsid w:val="00087836"/>
    <w:rsid w:val="000A6B6A"/>
    <w:rsid w:val="000C6D06"/>
    <w:rsid w:val="000E18CD"/>
    <w:rsid w:val="000E2302"/>
    <w:rsid w:val="000F0832"/>
    <w:rsid w:val="00156E63"/>
    <w:rsid w:val="001575AA"/>
    <w:rsid w:val="0017305C"/>
    <w:rsid w:val="001B703D"/>
    <w:rsid w:val="0025476B"/>
    <w:rsid w:val="002A01D4"/>
    <w:rsid w:val="002B0DE6"/>
    <w:rsid w:val="00395E1C"/>
    <w:rsid w:val="00396969"/>
    <w:rsid w:val="003F01D5"/>
    <w:rsid w:val="003F3235"/>
    <w:rsid w:val="0042043A"/>
    <w:rsid w:val="00426965"/>
    <w:rsid w:val="00473C00"/>
    <w:rsid w:val="004E5076"/>
    <w:rsid w:val="004F2045"/>
    <w:rsid w:val="004F6A0D"/>
    <w:rsid w:val="00596240"/>
    <w:rsid w:val="005A0733"/>
    <w:rsid w:val="005B4295"/>
    <w:rsid w:val="005C2078"/>
    <w:rsid w:val="005C33F7"/>
    <w:rsid w:val="005F2972"/>
    <w:rsid w:val="00651F01"/>
    <w:rsid w:val="00660DE6"/>
    <w:rsid w:val="00681F7F"/>
    <w:rsid w:val="00686F8A"/>
    <w:rsid w:val="006B67D0"/>
    <w:rsid w:val="006E521E"/>
    <w:rsid w:val="00702F74"/>
    <w:rsid w:val="00703E48"/>
    <w:rsid w:val="00714945"/>
    <w:rsid w:val="007150CA"/>
    <w:rsid w:val="00786909"/>
    <w:rsid w:val="007975C3"/>
    <w:rsid w:val="007B3D3F"/>
    <w:rsid w:val="00800FAF"/>
    <w:rsid w:val="00855DF7"/>
    <w:rsid w:val="008567B5"/>
    <w:rsid w:val="008C11C7"/>
    <w:rsid w:val="008D6379"/>
    <w:rsid w:val="008D6B3A"/>
    <w:rsid w:val="008F7C23"/>
    <w:rsid w:val="00902E4A"/>
    <w:rsid w:val="0092682B"/>
    <w:rsid w:val="00942004"/>
    <w:rsid w:val="00994559"/>
    <w:rsid w:val="00997885"/>
    <w:rsid w:val="00A109FC"/>
    <w:rsid w:val="00A21245"/>
    <w:rsid w:val="00A7509D"/>
    <w:rsid w:val="00A76CCB"/>
    <w:rsid w:val="00AA0D32"/>
    <w:rsid w:val="00AB6092"/>
    <w:rsid w:val="00AC3495"/>
    <w:rsid w:val="00AC4719"/>
    <w:rsid w:val="00AD5FC5"/>
    <w:rsid w:val="00AF7278"/>
    <w:rsid w:val="00B1490F"/>
    <w:rsid w:val="00B64354"/>
    <w:rsid w:val="00B80B48"/>
    <w:rsid w:val="00B87BFC"/>
    <w:rsid w:val="00B92913"/>
    <w:rsid w:val="00BB1E59"/>
    <w:rsid w:val="00BB79BC"/>
    <w:rsid w:val="00BE292C"/>
    <w:rsid w:val="00BE3358"/>
    <w:rsid w:val="00BE3AF9"/>
    <w:rsid w:val="00C21102"/>
    <w:rsid w:val="00CC0BF2"/>
    <w:rsid w:val="00CD0F98"/>
    <w:rsid w:val="00CF460C"/>
    <w:rsid w:val="00D247F4"/>
    <w:rsid w:val="00D276F9"/>
    <w:rsid w:val="00D46618"/>
    <w:rsid w:val="00D81B36"/>
    <w:rsid w:val="00D824CE"/>
    <w:rsid w:val="00D97361"/>
    <w:rsid w:val="00DF613C"/>
    <w:rsid w:val="00E14940"/>
    <w:rsid w:val="00E23D3D"/>
    <w:rsid w:val="00E511CA"/>
    <w:rsid w:val="00E71C2E"/>
    <w:rsid w:val="00E8504C"/>
    <w:rsid w:val="00EB2439"/>
    <w:rsid w:val="00ED0685"/>
    <w:rsid w:val="00EE604C"/>
    <w:rsid w:val="00F10212"/>
    <w:rsid w:val="00F83D51"/>
    <w:rsid w:val="00F96A0A"/>
    <w:rsid w:val="00FC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B331C"/>
  <w15:chartTrackingRefBased/>
  <w15:docId w15:val="{1F659323-59A5-4E98-B4EA-049190FE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65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F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C65EF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C65EF"/>
    <w:rPr>
      <w:color w:val="44546A" w:themeColor="text2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C6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5EF"/>
  </w:style>
  <w:style w:type="paragraph" w:styleId="Footer">
    <w:name w:val="footer"/>
    <w:basedOn w:val="Normal"/>
    <w:link w:val="FooterChar"/>
    <w:uiPriority w:val="99"/>
    <w:unhideWhenUsed/>
    <w:rsid w:val="00FC65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5EF"/>
  </w:style>
  <w:style w:type="paragraph" w:styleId="ListParagraph">
    <w:name w:val="List Paragraph"/>
    <w:basedOn w:val="Normal"/>
    <w:uiPriority w:val="34"/>
    <w:qFormat/>
    <w:rsid w:val="00FC65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C65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C6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C65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3D3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3D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3D3F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F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83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30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7305C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D9736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71C2E"/>
    <w:pPr>
      <w:tabs>
        <w:tab w:val="left" w:pos="660"/>
        <w:tab w:val="right" w:leader="dot" w:pos="8494"/>
      </w:tabs>
      <w:spacing w:after="100"/>
      <w:jc w:val="both"/>
    </w:pPr>
  </w:style>
  <w:style w:type="character" w:styleId="Hyperlink">
    <w:name w:val="Hyperlink"/>
    <w:basedOn w:val="DefaultParagraphFont"/>
    <w:uiPriority w:val="99"/>
    <w:unhideWhenUsed/>
    <w:rsid w:val="00D97361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C2078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e.pt/web/guest/pesquisa/-/search/70262478/details/normal?l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re.pt/web/guest/pesquisa/-/search/70262478/details/normal?l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e.pt/web/guest/pesquisa/-/search/70262478/details/normal?l=1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D5A9E-088B-449B-9972-8BE9F8085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2391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REGIME SIMPLIFICADO</vt:lpstr>
    </vt:vector>
  </TitlesOfParts>
  <Company/>
  <LinksUpToDate>false</LinksUpToDate>
  <CharactersWithSpaces>15275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REGIME SIMPLIFICADO</dc:title>
  <dc:subject/>
  <dc:creator>Eduardo Caeiro</dc:creator>
  <cp:keywords/>
  <dc:description/>
  <cp:lastModifiedBy>Eduardo Caeiro</cp:lastModifiedBy>
  <cp:revision>7</cp:revision>
  <cp:lastPrinted>2021-06-24T07:59:00Z</cp:lastPrinted>
  <dcterms:created xsi:type="dcterms:W3CDTF">2021-06-28T10:46:00Z</dcterms:created>
  <dcterms:modified xsi:type="dcterms:W3CDTF">2021-06-28T13:32:00Z</dcterms:modified>
</cp:coreProperties>
</file>